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0765-2022-QO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南通双耀冲压有限公司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南通双耀冲压有限公司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center"/>
          </w:tcPr>
          <w:p>
            <w:pPr>
              <w:rPr>
                <w:rFonts w:hint="eastAsia" w:eastAsia="宋体"/>
                <w:lang w:eastAsia="zh-CN"/>
              </w:rPr>
            </w:pPr>
            <w:r>
              <w:rPr>
                <w:rFonts w:hint="eastAsia" w:asciiTheme="minorEastAsia" w:hAnsiTheme="minorEastAsia" w:eastAsiaTheme="minorEastAsia"/>
                <w:sz w:val="20"/>
                <w:lang w:eastAsia="zh-CN"/>
              </w:rPr>
              <w:t>南通市通州区兴仁镇阚庵东村2组</w:t>
            </w:r>
          </w:p>
        </w:tc>
        <w:tc>
          <w:tcPr>
            <w:tcW w:w="1242" w:type="dxa"/>
            <w:vMerge w:val="restart"/>
            <w:vAlign w:val="center"/>
          </w:tcPr>
          <w:p>
            <w:r>
              <w:rPr>
                <w:rFonts w:hint="eastAsia"/>
              </w:rPr>
              <w:t>邮编</w:t>
            </w:r>
          </w:p>
        </w:tc>
        <w:tc>
          <w:tcPr>
            <w:tcW w:w="1771" w:type="dxa"/>
          </w:tcPr>
          <w:p>
            <w:bookmarkStart w:id="6" w:name="注册邮编"/>
            <w:r>
              <w:t>226352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center"/>
          </w:tcPr>
          <w:p>
            <w:pPr>
              <w:rPr>
                <w:rFonts w:hint="eastAsia" w:eastAsia="宋体"/>
                <w:lang w:eastAsia="zh-CN"/>
              </w:rPr>
            </w:pPr>
            <w:r>
              <w:rPr>
                <w:rFonts w:hint="eastAsia" w:asciiTheme="minorEastAsia" w:hAnsiTheme="minorEastAsia" w:eastAsiaTheme="minorEastAsia"/>
                <w:sz w:val="20"/>
                <w:lang w:eastAsia="zh-CN"/>
              </w:rPr>
              <w:t>南通市通州区兴仁镇阚庵东村2组</w:t>
            </w:r>
          </w:p>
        </w:tc>
        <w:tc>
          <w:tcPr>
            <w:tcW w:w="1242" w:type="dxa"/>
            <w:vMerge w:val="continue"/>
            <w:vAlign w:val="center"/>
          </w:tcPr>
          <w:p/>
        </w:tc>
        <w:tc>
          <w:tcPr>
            <w:tcW w:w="1771" w:type="dxa"/>
          </w:tcPr>
          <w:p>
            <w:bookmarkStart w:id="7" w:name="办公邮编"/>
            <w:r>
              <w:t>226352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8" w:name="联系人"/>
            <w:r>
              <w:t>朱卫平</w:t>
            </w:r>
            <w:bookmarkEnd w:id="8"/>
          </w:p>
        </w:tc>
        <w:tc>
          <w:tcPr>
            <w:tcW w:w="1313" w:type="dxa"/>
            <w:vAlign w:val="center"/>
          </w:tcPr>
          <w:p>
            <w:r>
              <w:rPr>
                <w:rFonts w:hint="eastAsia"/>
              </w:rPr>
              <w:t>电话.</w:t>
            </w:r>
          </w:p>
        </w:tc>
        <w:tc>
          <w:tcPr>
            <w:tcW w:w="2180" w:type="dxa"/>
            <w:vAlign w:val="center"/>
          </w:tcPr>
          <w:p>
            <w:bookmarkStart w:id="9" w:name="联系人电话"/>
            <w:r>
              <w:t>13962961008</w:t>
            </w:r>
            <w:bookmarkEnd w:id="9"/>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王建均</w:t>
            </w:r>
            <w:bookmarkEnd w:id="11"/>
          </w:p>
        </w:tc>
        <w:tc>
          <w:tcPr>
            <w:tcW w:w="1313" w:type="dxa"/>
            <w:vAlign w:val="center"/>
          </w:tcPr>
          <w:p>
            <w:r>
              <w:rPr>
                <w:rFonts w:hint="eastAsia"/>
              </w:rPr>
              <w:t>管理者代表</w:t>
            </w:r>
          </w:p>
        </w:tc>
        <w:tc>
          <w:tcPr>
            <w:tcW w:w="2180" w:type="dxa"/>
          </w:tcPr>
          <w:p>
            <w:bookmarkStart w:id="12" w:name="管理者代表"/>
            <w:r>
              <w:t>朱卫平</w:t>
            </w:r>
            <w:bookmarkEnd w:id="12"/>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numPr>
                <w:ilvl w:val="0"/>
                <w:numId w:val="0"/>
              </w:num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定、转子铁芯</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落料</w:t>
            </w:r>
            <w:r>
              <w:rPr>
                <w:rFonts w:hint="eastAsia" w:ascii="宋体" w:hAnsi="宋体" w:eastAsia="宋体" w:cs="宋体"/>
                <w:sz w:val="21"/>
                <w:szCs w:val="21"/>
              </w:rPr>
              <w:t>----</w:t>
            </w:r>
            <w:r>
              <w:rPr>
                <w:rFonts w:hint="eastAsia" w:ascii="宋体" w:hAnsi="宋体" w:eastAsia="宋体" w:cs="宋体"/>
                <w:sz w:val="21"/>
                <w:szCs w:val="21"/>
                <w:lang w:val="en-US" w:eastAsia="zh-CN"/>
              </w:rPr>
              <w:t>冲槽</w:t>
            </w:r>
            <w:r>
              <w:rPr>
                <w:rFonts w:hint="eastAsia" w:ascii="宋体" w:hAnsi="宋体" w:eastAsia="宋体" w:cs="宋体"/>
                <w:sz w:val="21"/>
                <w:szCs w:val="21"/>
              </w:rPr>
              <w:t>----</w:t>
            </w:r>
            <w:r>
              <w:rPr>
                <w:rFonts w:hint="eastAsia" w:ascii="宋体" w:hAnsi="宋体" w:eastAsia="宋体" w:cs="宋体"/>
                <w:sz w:val="21"/>
                <w:szCs w:val="21"/>
                <w:lang w:val="en-US" w:eastAsia="zh-CN"/>
              </w:rPr>
              <w:t>检验</w:t>
            </w:r>
            <w:r>
              <w:rPr>
                <w:rFonts w:hint="eastAsia" w:ascii="宋体" w:hAnsi="宋体" w:eastAsia="宋体" w:cs="宋体"/>
                <w:sz w:val="21"/>
                <w:szCs w:val="21"/>
              </w:rPr>
              <w:t>----</w:t>
            </w:r>
            <w:r>
              <w:rPr>
                <w:rFonts w:hint="eastAsia" w:ascii="宋体" w:hAnsi="宋体" w:eastAsia="宋体" w:cs="宋体"/>
                <w:sz w:val="21"/>
                <w:szCs w:val="21"/>
                <w:lang w:val="en-US" w:eastAsia="zh-CN"/>
              </w:rPr>
              <w:t>打包</w:t>
            </w:r>
            <w:r>
              <w:rPr>
                <w:rFonts w:hint="eastAsia" w:ascii="宋体" w:hAnsi="宋体" w:cs="宋体"/>
                <w:sz w:val="21"/>
                <w:szCs w:val="21"/>
                <w:lang w:val="en-US" w:eastAsia="zh-CN"/>
              </w:rPr>
              <w:t>。</w:t>
            </w:r>
          </w:p>
          <w:p>
            <w:pPr>
              <w:adjustRightInd w:val="0"/>
              <w:snapToGrid w:val="0"/>
              <w:spacing w:line="400" w:lineRule="exact"/>
              <w:jc w:val="left"/>
            </w:pPr>
            <w:r>
              <w:rPr>
                <w:rFonts w:hint="eastAsia" w:ascii="宋体" w:hAnsi="宋体" w:eastAsia="宋体" w:cs="宋体"/>
                <w:sz w:val="21"/>
                <w:szCs w:val="21"/>
                <w:lang w:val="en-US" w:eastAsia="zh-CN"/>
              </w:rPr>
              <w:t>转子</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压片----铸铝-----整理</w:t>
            </w:r>
            <w:r>
              <w:rPr>
                <w:rFonts w:hint="eastAsia" w:ascii="宋体" w:hAnsi="宋体" w:eastAsia="宋体" w:cs="宋体"/>
                <w:sz w:val="21"/>
                <w:szCs w:val="21"/>
              </w:rPr>
              <w:t>----</w:t>
            </w:r>
            <w:r>
              <w:rPr>
                <w:rFonts w:hint="eastAsia" w:ascii="宋体" w:hAnsi="宋体" w:eastAsia="宋体" w:cs="宋体"/>
                <w:sz w:val="21"/>
                <w:szCs w:val="21"/>
                <w:lang w:val="en-US" w:eastAsia="zh-CN"/>
              </w:rPr>
              <w:t>检验</w:t>
            </w:r>
            <w:r>
              <w:rPr>
                <w:rFonts w:hint="eastAsia" w:ascii="宋体" w:hAnsi="宋体" w:eastAsia="宋体" w:cs="宋体"/>
                <w:sz w:val="21"/>
                <w:szCs w:val="21"/>
              </w:rPr>
              <w:t>----</w:t>
            </w:r>
            <w:r>
              <w:rPr>
                <w:rFonts w:hint="eastAsia" w:ascii="宋体" w:hAnsi="宋体" w:eastAsia="宋体" w:cs="宋体"/>
                <w:sz w:val="21"/>
                <w:szCs w:val="21"/>
                <w:lang w:val="en-US" w:eastAsia="zh-CN"/>
              </w:rPr>
              <w:t>包装、入库</w:t>
            </w:r>
            <w:r>
              <w:rPr>
                <w:rFonts w:hint="eastAsia" w:ascii="宋体" w:hAnsi="宋体" w:eastAsia="宋体" w:cs="宋体"/>
                <w:sz w:val="21"/>
                <w:szCs w:val="21"/>
              </w:rPr>
              <w:t>。</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2022年06月10日 上午至2022年06月10日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南通市通州区兴仁镇阚庵东村2组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Q：定转子铁芯、转子的生产和销售</w:t>
            </w:r>
          </w:p>
          <w:p>
            <w:r>
              <w:t>O：定转子铁芯、转子的生产销售所涉及场所的相关职业健康安全管理活动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Q：17.05.03;17.09.00</w:t>
            </w:r>
          </w:p>
          <w:p>
            <w:r>
              <w:t>O：17.05.03;17.09.00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21"/>
        <w:gridCol w:w="11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21" w:type="dxa"/>
            <w:shd w:val="clear" w:color="auto" w:fill="F3F3F3"/>
            <w:tcMar>
              <w:left w:w="57" w:type="dxa"/>
              <w:right w:w="57" w:type="dxa"/>
            </w:tcMar>
          </w:tcPr>
          <w:p>
            <w:r>
              <w:rPr>
                <w:rFonts w:hint="eastAsia"/>
              </w:rPr>
              <w:t>审核范围（产品和过程）</w:t>
            </w:r>
          </w:p>
          <w:p/>
          <w:p/>
        </w:tc>
        <w:tc>
          <w:tcPr>
            <w:tcW w:w="11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bookmarkStart w:id="32" w:name="_GoBack" w:colFirst="1" w:colLast="6"/>
            <w:r>
              <w:rPr>
                <w:rFonts w:hint="eastAsia"/>
                <w:lang w:eastAsia="ja-JP"/>
              </w:rPr>
              <w:t>01</w:t>
            </w:r>
          </w:p>
        </w:tc>
        <w:tc>
          <w:tcPr>
            <w:tcW w:w="2267" w:type="dxa"/>
          </w:tcPr>
          <w:p>
            <w:pPr>
              <w:rPr>
                <w:lang w:val="de-DE" w:eastAsia="ja-JP"/>
              </w:rPr>
            </w:pPr>
            <w:r>
              <w:rPr>
                <w:rFonts w:hint="eastAsia"/>
                <w:lang w:val="de-DE" w:eastAsia="ja-JP"/>
              </w:rPr>
              <w:t>南通双耀冲压有限公司</w:t>
            </w:r>
            <w:r>
              <w:rPr>
                <w:rFonts w:hint="eastAsia"/>
                <w:lang w:val="en-US" w:eastAsia="zh-CN"/>
              </w:rPr>
              <w:t>/</w:t>
            </w:r>
            <w:r>
              <w:rPr>
                <w:rFonts w:hint="eastAsia"/>
                <w:lang w:val="de-DE" w:eastAsia="ja-JP"/>
              </w:rPr>
              <w:t>南通市通州区兴仁镇阚庵东村2组</w:t>
            </w:r>
          </w:p>
        </w:tc>
        <w:tc>
          <w:tcPr>
            <w:tcW w:w="2267" w:type="dxa"/>
          </w:tcPr>
          <w:p>
            <w:pPr>
              <w:rPr>
                <w:lang w:val="de-DE" w:eastAsia="ja-JP"/>
              </w:rPr>
            </w:pPr>
            <w:r>
              <w:rPr>
                <w:rFonts w:hint="eastAsia"/>
                <w:lang w:val="de-DE" w:eastAsia="ja-JP"/>
              </w:rPr>
              <w:t>南通市通州区兴仁镇阚庵东村2组</w:t>
            </w:r>
          </w:p>
        </w:tc>
        <w:tc>
          <w:tcPr>
            <w:tcW w:w="571" w:type="dxa"/>
            <w:vAlign w:val="center"/>
          </w:tcPr>
          <w:p>
            <w:pPr>
              <w:rPr>
                <w:rFonts w:hint="default" w:eastAsia="宋体"/>
                <w:lang w:val="en-US" w:eastAsia="zh-CN"/>
              </w:rPr>
            </w:pPr>
            <w:r>
              <w:rPr>
                <w:rFonts w:hint="eastAsia"/>
                <w:lang w:val="en-US" w:eastAsia="zh-CN"/>
              </w:rPr>
              <w:t>22</w:t>
            </w:r>
          </w:p>
        </w:tc>
        <w:tc>
          <w:tcPr>
            <w:tcW w:w="2321" w:type="dxa"/>
            <w:vAlign w:val="center"/>
          </w:tcPr>
          <w:p>
            <w:pPr>
              <w:rPr>
                <w:lang w:eastAsia="ja-JP"/>
              </w:rPr>
            </w:pPr>
            <w:r>
              <w:rPr>
                <w:rFonts w:hint="eastAsia"/>
                <w:lang w:eastAsia="ja-JP"/>
              </w:rPr>
              <w:t>定转子铁芯、转子的生产和销售</w:t>
            </w:r>
          </w:p>
        </w:tc>
        <w:tc>
          <w:tcPr>
            <w:tcW w:w="1151" w:type="dxa"/>
            <w:vAlign w:val="center"/>
          </w:tcPr>
          <w:p>
            <w:pPr>
              <w:rPr>
                <w:rFonts w:hint="eastAsia" w:ascii="宋体" w:hAnsi="宋体"/>
                <w:b/>
                <w:sz w:val="21"/>
                <w:szCs w:val="21"/>
              </w:rPr>
            </w:pPr>
            <w:r>
              <w:rPr>
                <w:rFonts w:hint="eastAsia" w:ascii="宋体" w:hAnsi="宋体"/>
                <w:b/>
                <w:sz w:val="21"/>
                <w:szCs w:val="21"/>
              </w:rPr>
              <w:t>GB/T19001-2016</w:t>
            </w:r>
          </w:p>
          <w:p>
            <w:pPr>
              <w:rPr>
                <w:lang w:eastAsia="ja-JP"/>
              </w:rPr>
            </w:pPr>
            <w:r>
              <w:rPr>
                <w:rFonts w:hint="eastAsia" w:ascii="宋体" w:hAnsi="宋体"/>
                <w:b/>
                <w:sz w:val="21"/>
                <w:szCs w:val="21"/>
              </w:rPr>
              <w:t>GB/T45001-2020</w:t>
            </w:r>
          </w:p>
        </w:tc>
        <w:tc>
          <w:tcPr>
            <w:tcW w:w="668" w:type="dxa"/>
            <w:shd w:val="clear" w:color="auto" w:fill="FFFFFF"/>
          </w:tcPr>
          <w:p>
            <w:r>
              <w:rPr/>
              <w:sym w:font="Wingdings" w:char="00FE"/>
            </w:r>
          </w:p>
        </w:tc>
      </w:tr>
      <w:bookmark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21" w:type="dxa"/>
            <w:vAlign w:val="center"/>
          </w:tcPr>
          <w:p>
            <w:pPr>
              <w:rPr>
                <w:lang w:eastAsia="ja-JP"/>
              </w:rPr>
            </w:pPr>
          </w:p>
        </w:tc>
        <w:tc>
          <w:tcPr>
            <w:tcW w:w="11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21" w:type="dxa"/>
            <w:vAlign w:val="center"/>
          </w:tcPr>
          <w:p>
            <w:pPr>
              <w:rPr>
                <w:lang w:eastAsia="ja-JP"/>
              </w:rPr>
            </w:pPr>
          </w:p>
        </w:tc>
        <w:tc>
          <w:tcPr>
            <w:tcW w:w="11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21" w:type="dxa"/>
            <w:vAlign w:val="center"/>
          </w:tcPr>
          <w:p>
            <w:pPr>
              <w:rPr>
                <w:lang w:eastAsia="ja-JP"/>
              </w:rPr>
            </w:pPr>
          </w:p>
        </w:tc>
        <w:tc>
          <w:tcPr>
            <w:tcW w:w="11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21" w:type="dxa"/>
            <w:vAlign w:val="center"/>
          </w:tcPr>
          <w:p>
            <w:pPr>
              <w:rPr>
                <w:lang w:eastAsia="ja-JP"/>
              </w:rPr>
            </w:pPr>
          </w:p>
        </w:tc>
        <w:tc>
          <w:tcPr>
            <w:tcW w:w="11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p>
            <w:r>
              <w:t>2021-N1OHSMS-2222792</w:t>
            </w:r>
          </w:p>
        </w:tc>
        <w:tc>
          <w:tcPr>
            <w:tcW w:w="2179" w:type="dxa"/>
            <w:vAlign w:val="center"/>
          </w:tcPr>
          <w:p>
            <w:r>
              <w:t>Q:17.05.03,17.09.00</w:t>
            </w:r>
          </w:p>
          <w:p>
            <w:r>
              <w:t>O:17.05.03,17.09.00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tc>
        <w:tc>
          <w:tcPr>
            <w:tcW w:w="2179" w:type="dxa"/>
            <w:vAlign w:val="center"/>
          </w:tcPr>
          <w:p>
            <w:r>
              <w:t>Q:17.05.03,17.09.00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7"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396875" cy="305435"/>
                  <wp:effectExtent l="0" t="0" r="9525" b="12065"/>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6"/>
                          <a:stretch>
                            <a:fillRect/>
                          </a:stretch>
                        </pic:blipFill>
                        <pic:spPr>
                          <a:xfrm>
                            <a:off x="0" y="0"/>
                            <a:ext cx="396875" cy="30543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2022.6.10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最高管理者制定了文件化的管理体系方针：以“求实、创新”持续改进管理</w:t>
            </w:r>
          </w:p>
          <w:p>
            <w:pPr>
              <w:shd w:val="clear" w:color="auto" w:fill="C7DAF1" w:themeFill="text2" w:themeFillTint="32"/>
              <w:rPr>
                <w:rFonts w:hint="eastAsia"/>
              </w:rPr>
            </w:pPr>
            <w:r>
              <w:rPr>
                <w:rFonts w:hint="eastAsia"/>
              </w:rPr>
              <w:t>——不断关注顾客、辩识风险、预防污染、控制过程，确保产品优质；</w:t>
            </w:r>
          </w:p>
          <w:p>
            <w:pPr>
              <w:shd w:val="clear" w:color="auto" w:fill="C7DAF1" w:themeFill="text2" w:themeFillTint="32"/>
              <w:rPr>
                <w:rFonts w:hint="eastAsia"/>
              </w:rPr>
            </w:pPr>
            <w:r>
              <w:rPr>
                <w:rFonts w:hint="eastAsia"/>
              </w:rPr>
              <w:t>以“优质、高效”实现相关方满意</w:t>
            </w:r>
          </w:p>
          <w:p>
            <w:pPr>
              <w:shd w:val="clear" w:color="auto" w:fill="C7DAF1" w:themeFill="text2" w:themeFillTint="32"/>
            </w:pPr>
            <w:r>
              <w:rPr>
                <w:rFonts w:hint="eastAsia"/>
              </w:rPr>
              <w:t>——积极营造和维护健康、优质、美好的工作和生活环境，追求卓越</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031" w:hRule="atLeast"/>
        </w:trPr>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客户对产品质量标准提高，以及对服务的期望值提升，给公司</w:t>
                  </w:r>
                  <w:r>
                    <w:t>通信用户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rPr>
                      <w:rFonts w:hint="eastAsia" w:ascii="Times New Roman" w:hAnsi="Times New Roman" w:eastAsia="宋体" w:cs="Times New Roman"/>
                      <w:color w:val="000000"/>
                      <w:kern w:val="2"/>
                      <w:sz w:val="21"/>
                      <w:szCs w:val="21"/>
                      <w:lang w:val="en-US" w:eastAsia="zh-CN" w:bidi="ar-SA"/>
                    </w:rPr>
                  </w:pPr>
                  <w:r>
                    <w:rPr>
                      <w:rFonts w:hint="eastAsia"/>
                      <w:color w:val="auto"/>
                      <w:sz w:val="21"/>
                      <w:szCs w:val="21"/>
                    </w:rPr>
                    <w:t>产品一次检验合格率≥9</w:t>
                  </w:r>
                  <w:r>
                    <w:rPr>
                      <w:rFonts w:hint="eastAsia"/>
                      <w:color w:val="auto"/>
                      <w:sz w:val="21"/>
                      <w:szCs w:val="21"/>
                      <w:lang w:val="en-US" w:eastAsia="zh-CN"/>
                    </w:rPr>
                    <w:t>8</w:t>
                  </w:r>
                  <w:r>
                    <w:rPr>
                      <w:rFonts w:hint="eastAsia"/>
                      <w:color w:val="auto"/>
                      <w:sz w:val="21"/>
                      <w:szCs w:val="21"/>
                    </w:rPr>
                    <w:t>％</w:t>
                  </w:r>
                </w:p>
              </w:tc>
              <w:tc>
                <w:tcPr>
                  <w:tcW w:w="3136" w:type="dxa"/>
                  <w:shd w:val="clear" w:color="auto" w:fill="auto"/>
                  <w:vAlign w:val="center"/>
                </w:tcPr>
                <w:p>
                  <w:pPr>
                    <w:widowControl/>
                    <w:rPr>
                      <w:rFonts w:hint="eastAsia" w:ascii="Times New Roman" w:hAnsi="Times New Roman" w:eastAsia="宋体" w:cs="Times New Roman"/>
                      <w:color w:val="000000"/>
                      <w:kern w:val="2"/>
                      <w:sz w:val="21"/>
                      <w:szCs w:val="21"/>
                      <w:lang w:val="en-GB" w:eastAsia="zh-CN" w:bidi="ar-SA"/>
                    </w:rPr>
                  </w:pPr>
                  <w:r>
                    <w:rPr>
                      <w:rFonts w:hint="eastAsia"/>
                      <w:color w:val="000000"/>
                      <w:szCs w:val="21"/>
                    </w:rPr>
                    <w:t>一次检验合格数/生产总数*100%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生产技术部</w:t>
                  </w:r>
                </w:p>
              </w:tc>
              <w:tc>
                <w:tcPr>
                  <w:tcW w:w="1774" w:type="dxa"/>
                  <w:shd w:val="clear" w:color="auto" w:fill="auto"/>
                  <w:vAlign w:val="center"/>
                </w:tcPr>
                <w:p>
                  <w:pPr>
                    <w:tabs>
                      <w:tab w:val="left" w:pos="10080"/>
                    </w:tabs>
                    <w:jc w:val="center"/>
                    <w:rPr>
                      <w:rFonts w:ascii="宋体" w:hAnsi="宋体" w:eastAsia="宋体" w:cs="Times New Roman"/>
                      <w:kern w:val="2"/>
                      <w:sz w:val="21"/>
                      <w:szCs w:val="24"/>
                      <w:lang w:val="en-GB" w:eastAsia="zh-CN" w:bidi="ar-SA"/>
                    </w:rPr>
                  </w:pPr>
                  <w:r>
                    <w:rPr>
                      <w:rFonts w:hint="eastAsia"/>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顾客满意率  ≥9</w:t>
                  </w:r>
                  <w:r>
                    <w:rPr>
                      <w:rFonts w:hint="eastAsia"/>
                      <w:color w:val="000000"/>
                      <w:szCs w:val="21"/>
                      <w:lang w:val="en-US" w:eastAsia="zh-CN"/>
                    </w:rPr>
                    <w:t>5%</w:t>
                  </w:r>
                </w:p>
              </w:tc>
              <w:tc>
                <w:tcPr>
                  <w:tcW w:w="3136" w:type="dxa"/>
                  <w:shd w:val="clear" w:color="auto" w:fill="auto"/>
                  <w:vAlign w:val="center"/>
                </w:tcPr>
                <w:p>
                  <w:pPr>
                    <w:tabs>
                      <w:tab w:val="left" w:pos="10080"/>
                    </w:tabs>
                    <w:rPr>
                      <w:rFonts w:hint="eastAsia" w:ascii="宋体" w:hAnsi="宋体" w:eastAsia="宋体" w:cs="Times New Roman"/>
                      <w:kern w:val="2"/>
                      <w:sz w:val="21"/>
                      <w:szCs w:val="21"/>
                      <w:lang w:val="en-US" w:eastAsia="zh-CN" w:bidi="ar-SA"/>
                    </w:rPr>
                  </w:pPr>
                  <w:r>
                    <w:rPr>
                      <w:rFonts w:hint="eastAsia" w:ascii="宋体" w:hAnsi="宋体"/>
                      <w:color w:val="auto"/>
                      <w:szCs w:val="21"/>
                    </w:rPr>
                    <w:t>根据顾客满意度调查结果</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市场部</w:t>
                  </w:r>
                </w:p>
              </w:tc>
              <w:tc>
                <w:tcPr>
                  <w:tcW w:w="1774" w:type="dxa"/>
                  <w:shd w:val="clear" w:color="auto" w:fill="auto"/>
                  <w:vAlign w:val="center"/>
                </w:tcPr>
                <w:p>
                  <w:pPr>
                    <w:tabs>
                      <w:tab w:val="left" w:pos="10080"/>
                    </w:tabs>
                    <w:jc w:val="center"/>
                    <w:rPr>
                      <w:rFonts w:hint="default" w:ascii="宋体" w:hAnsi="宋体" w:eastAsia="宋体" w:cs="Times New Roman"/>
                      <w:kern w:val="2"/>
                      <w:sz w:val="21"/>
                      <w:szCs w:val="24"/>
                      <w:lang w:val="en-US" w:eastAsia="zh-CN" w:bidi="ar-SA"/>
                    </w:rPr>
                  </w:pPr>
                  <w:r>
                    <w:rPr>
                      <w:rFonts w:hint="eastAsia"/>
                      <w:szCs w:val="21"/>
                    </w:rPr>
                    <w:t>9</w:t>
                  </w:r>
                  <w:r>
                    <w:rPr>
                      <w:rFonts w:hint="eastAsia"/>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91" w:type="dxa"/>
                  <w:shd w:val="clear" w:color="auto" w:fill="auto"/>
                  <w:vAlign w:val="center"/>
                </w:tcPr>
                <w:p>
                  <w:pPr>
                    <w:widowControl/>
                    <w:jc w:val="left"/>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tabs>
                      <w:tab w:val="left" w:pos="10080"/>
                    </w:tabs>
                    <w:rPr>
                      <w:rFonts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w:t>
            </w:r>
            <w:r>
              <w:rPr>
                <w:rFonts w:hint="eastAsia"/>
              </w:rPr>
              <w:sym w:font="Wingdings 2" w:char="0052"/>
            </w:r>
            <w:r>
              <w:rPr>
                <w:rFonts w:hint="eastAsia"/>
              </w:rPr>
              <w:t>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lang w:val="en-US" w:eastAsia="zh-CN"/>
              </w:rPr>
              <w:t>3000</w:t>
            </w:r>
            <w:r>
              <w:rPr>
                <w:rFonts w:hint="eastAsia"/>
                <w:color w:val="auto"/>
              </w:rPr>
              <w:t>平方米；生产车间</w:t>
            </w:r>
            <w:r>
              <w:rPr>
                <w:rFonts w:hint="eastAsia"/>
                <w:color w:val="auto"/>
                <w:lang w:val="en-US" w:eastAsia="zh-CN"/>
              </w:rPr>
              <w:t>1</w:t>
            </w:r>
            <w:r>
              <w:rPr>
                <w:rFonts w:hint="eastAsia"/>
                <w:color w:val="auto"/>
              </w:rPr>
              <w:t>个；库房</w:t>
            </w:r>
            <w:r>
              <w:rPr>
                <w:rFonts w:hint="eastAsia"/>
                <w:color w:val="auto"/>
                <w:lang w:val="en-US" w:eastAsia="zh-CN"/>
              </w:rPr>
              <w:t>1</w:t>
            </w:r>
            <w:r>
              <w:rPr>
                <w:rFonts w:hint="eastAsia"/>
                <w:color w:val="auto"/>
              </w:rPr>
              <w:t>个；实验室个；</w:t>
            </w:r>
          </w:p>
          <w:p>
            <w:pPr>
              <w:shd w:val="clear" w:color="auto" w:fill="C7DAF1" w:themeFill="text2" w:themeFillTint="32"/>
              <w:rPr>
                <w:u w:val="single"/>
              </w:rPr>
            </w:pPr>
            <w:r>
              <w:rPr>
                <w:rFonts w:hint="eastAsia"/>
              </w:rPr>
              <w:t>主要生产设备有：</w:t>
            </w:r>
            <w:r>
              <w:rPr>
                <w:rFonts w:hint="eastAsia"/>
                <w:u w:val="single"/>
                <w:lang w:val="en-US" w:eastAsia="zh-CN"/>
              </w:rPr>
              <w:t>冲床、高速单槽冲床、40吨定子压装设备、磨床、压力机</w:t>
            </w:r>
            <w:r>
              <w:rPr>
                <w:rFonts w:hint="eastAsia"/>
                <w:u w:val="single"/>
              </w:rPr>
              <w:t>等</w:t>
            </w:r>
          </w:p>
          <w:p>
            <w:pPr>
              <w:shd w:val="clear" w:color="auto" w:fill="C7DAF1" w:themeFill="text2" w:themeFillTint="32"/>
            </w:pPr>
            <w:r>
              <w:rPr>
                <w:rFonts w:hint="eastAsia"/>
              </w:rPr>
              <w:t>特种设备：</w:t>
            </w:r>
            <w:r>
              <w:rPr>
                <w:rFonts w:hint="eastAsia"/>
                <w:lang w:val="en-US" w:eastAsia="zh-CN"/>
              </w:rPr>
              <w:sym w:font="Wingdings" w:char="00FE"/>
            </w:r>
            <w:r>
              <w:rPr>
                <w:rFonts w:hint="eastAsia"/>
              </w:rPr>
              <w:t>叉车</w:t>
            </w:r>
            <w:r>
              <w:rPr>
                <w:rFonts w:hint="eastAsia"/>
                <w:lang w:val="en-US" w:eastAsia="zh-CN"/>
              </w:rPr>
              <w:sym w:font="Wingdings" w:char="00FE"/>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lang w:val="en-US" w:eastAsia="zh-CN"/>
              </w:rPr>
              <w:t xml:space="preserve"> </w:t>
            </w:r>
            <w:r>
              <w:rPr>
                <w:rFonts w:hint="eastAsia"/>
                <w:lang w:val="en-US" w:eastAsia="zh-CN"/>
              </w:rPr>
              <w:sym w:font="Wingdings" w:char="00A8"/>
            </w:r>
            <w:r>
              <w:rPr>
                <w:rFonts w:hint="eastAsia"/>
              </w:rPr>
              <w:t>不适用</w:t>
            </w:r>
          </w:p>
          <w:p>
            <w:pPr>
              <w:shd w:val="clear" w:color="auto" w:fill="C7DAF1" w:themeFill="text2" w:themeFillTint="32"/>
              <w:rPr>
                <w:u w:val="single"/>
              </w:rPr>
            </w:pPr>
            <w:r>
              <w:rPr>
                <w:rFonts w:hint="eastAsia"/>
              </w:rPr>
              <w:t>特种设备管理：</w:t>
            </w:r>
            <w:r>
              <w:rPr>
                <w:rFonts w:hint="eastAsia"/>
                <w:lang w:val="en-US" w:eastAsia="zh-CN"/>
              </w:rPr>
              <w:sym w:font="Wingdings" w:char="00FE"/>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52"/>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游标卡尺、</w:t>
            </w:r>
            <w:r>
              <w:rPr>
                <w:rFonts w:hint="eastAsia"/>
                <w:u w:val="single"/>
                <w:lang w:val="en-US" w:eastAsia="zh-CN"/>
              </w:rPr>
              <w:t>钢卷尺</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lang w:val="en-US" w:eastAsia="zh-CN"/>
              </w:rPr>
              <w:sym w:font="Wingdings" w:char="00FE"/>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w:t>
            </w:r>
            <w:r>
              <w:rPr>
                <w:rFonts w:hint="eastAsia" w:ascii="宋体" w:hAnsi="宋体" w:eastAsia="宋体" w:cs="宋体"/>
              </w:rPr>
              <w:t>■</w:t>
            </w:r>
            <w:r>
              <w:rPr>
                <w:rFonts w:hint="eastAsia"/>
              </w:rPr>
              <w:t>包装、储存</w:t>
            </w:r>
            <w:r>
              <w:rPr>
                <w:rFonts w:hint="eastAsia" w:ascii="宋体" w:hAnsi="宋体" w:eastAsia="宋体" w:cs="宋体"/>
              </w:rPr>
              <w:t>■</w:t>
            </w:r>
            <w:r>
              <w:rPr>
                <w:rFonts w:hint="eastAsia"/>
              </w:rPr>
              <w:t>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宋体" w:hAnsi="宋体" w:eastAsia="宋体" w:cs="宋体"/>
              </w:rPr>
              <w:t>■</w:t>
            </w:r>
            <w:r>
              <w:rPr>
                <w:rFonts w:hint="eastAsia"/>
              </w:rPr>
              <w:t>存在不足，说明</w:t>
            </w:r>
            <w:r>
              <w:rPr>
                <w:rFonts w:hint="eastAsia"/>
                <w:lang w:val="en-US" w:eastAsia="zh-CN"/>
              </w:rPr>
              <w:t>:质检员未进行授权</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21-22</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4</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p>
      <w:pPr>
        <w:rPr>
          <w:rFonts w:eastAsia="微软雅黑"/>
        </w:rPr>
      </w:pPr>
      <w:r>
        <w:rPr>
          <w:rFonts w:eastAsia="微软雅黑"/>
        </w:rP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最高管理者制定了文件化的职业健康安全管理体系方针：以“求实、创新”持续改进管理</w:t>
            </w:r>
          </w:p>
          <w:p>
            <w:pPr>
              <w:rPr>
                <w:rFonts w:hint="eastAsia"/>
              </w:rPr>
            </w:pPr>
            <w:r>
              <w:rPr>
                <w:rFonts w:hint="eastAsia"/>
              </w:rPr>
              <w:t>——不断关注顾客、辩识风险、预防污染、控制过程，确保产品优质；</w:t>
            </w:r>
          </w:p>
          <w:p>
            <w:pPr>
              <w:rPr>
                <w:rFonts w:hint="eastAsia"/>
              </w:rPr>
            </w:pPr>
            <w:r>
              <w:rPr>
                <w:rFonts w:hint="eastAsia"/>
              </w:rPr>
              <w:t>以“优质、高效”实现相关方满意</w:t>
            </w:r>
          </w:p>
          <w:p>
            <w:r>
              <w:rPr>
                <w:rFonts w:hint="eastAsia"/>
              </w:rPr>
              <w:t>——积极营造和维护健康、优质、美好的工作和生活环境，追求卓越</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应急管理局</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cs="宋体"/>
                <w:color w:val="auto"/>
                <w:sz w:val="21"/>
                <w:szCs w:val="21"/>
                <w:lang w:val="en-US" w:eastAsia="zh-CN"/>
              </w:rPr>
              <w:t>王云倩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来自当地安全部门的监察</w:t>
                  </w:r>
                </w:p>
              </w:tc>
              <w:tc>
                <w:tcPr>
                  <w:tcW w:w="3965"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合规合法经营</w:t>
                  </w:r>
                </w:p>
              </w:tc>
              <w:tc>
                <w:tcPr>
                  <w:tcW w:w="1717"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加强员工防火意识</w:t>
                  </w:r>
                </w:p>
              </w:tc>
              <w:tc>
                <w:tcPr>
                  <w:tcW w:w="1717"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p>
              </w:tc>
              <w:tc>
                <w:tcPr>
                  <w:tcW w:w="3965" w:type="dxa"/>
                  <w:vAlign w:val="top"/>
                </w:tcPr>
                <w:p>
                  <w:pPr>
                    <w:rPr>
                      <w:rFonts w:hint="default" w:ascii="Times New Roman" w:hAnsi="Times New Roman" w:eastAsia="宋体" w:cs="Times New Roman"/>
                      <w:lang w:val="en-US" w:eastAsia="zh-CN"/>
                    </w:rPr>
                  </w:pPr>
                </w:p>
              </w:tc>
              <w:tc>
                <w:tcPr>
                  <w:tcW w:w="1717" w:type="dxa"/>
                  <w:vAlign w:val="top"/>
                </w:tcPr>
                <w:p>
                  <w:pPr>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13"/>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全年无重大安全事故</w:t>
                  </w:r>
                </w:p>
              </w:tc>
              <w:tc>
                <w:tcPr>
                  <w:tcW w:w="3136" w:type="dxa"/>
                  <w:shd w:val="clear" w:color="auto" w:fill="auto"/>
                  <w:vAlign w:val="center"/>
                </w:tcPr>
                <w:p>
                  <w:pPr>
                    <w:pStyle w:val="13"/>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加强员工安全意识教育培训；</w:t>
                  </w:r>
                </w:p>
                <w:p>
                  <w:pPr>
                    <w:pStyle w:val="13"/>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配置安全防护设施，要求员工佩戴安全防护用具</w:t>
                  </w:r>
                </w:p>
              </w:tc>
              <w:tc>
                <w:tcPr>
                  <w:tcW w:w="1350" w:type="dxa"/>
                  <w:shd w:val="clear" w:color="auto" w:fill="auto"/>
                  <w:vAlign w:val="center"/>
                </w:tcPr>
                <w:p>
                  <w:pPr>
                    <w:rPr>
                      <w:rFonts w:hint="default" w:eastAsia="宋体"/>
                      <w:lang w:val="en-US" w:eastAsia="zh-CN"/>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p>
              </w:tc>
              <w:tc>
                <w:tcPr>
                  <w:tcW w:w="3136" w:type="dxa"/>
                  <w:shd w:val="clear" w:color="auto" w:fill="auto"/>
                  <w:vAlign w:val="center"/>
                </w:tcPr>
                <w:p>
                  <w:pPr>
                    <w:pStyle w:val="13"/>
                    <w:rPr>
                      <w:rFonts w:hint="default"/>
                      <w:lang w:val="en-US"/>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w:char="00FE"/>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w:char="00FE"/>
            </w:r>
            <w:r>
              <w:rPr>
                <w:rFonts w:hint="eastAsia"/>
              </w:rPr>
              <w:t>人力资源</w:t>
            </w:r>
            <w:r>
              <w:rPr>
                <w:rFonts w:hint="eastAsia" w:ascii="Wingdings" w:hAnsi="Wingdings"/>
              </w:rPr>
              <w:t>¨</w:t>
            </w:r>
            <w:r>
              <w:rPr>
                <w:rFonts w:hint="eastAsia"/>
              </w:rPr>
              <w:t>自然资源</w:t>
            </w:r>
            <w:r>
              <w:rPr>
                <w:rFonts w:hint="eastAsia" w:ascii="Wingdings" w:hAnsi="Wingdings"/>
              </w:rPr>
              <w:sym w:font="Wingdings" w:char="00FE"/>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cs="Times New Roman"/>
                <w:lang w:val="en-US" w:eastAsia="zh-CN"/>
              </w:rPr>
              <w:t>30</w:t>
            </w:r>
            <w:r>
              <w:rPr>
                <w:rFonts w:hint="eastAsia" w:ascii="Times New Roman" w:hAnsi="Times New Roman" w:eastAsia="宋体" w:cs="Times New Roman"/>
                <w:lang w:val="en-US" w:eastAsia="zh-CN"/>
              </w:rPr>
              <w:t>00</w:t>
            </w:r>
            <w:r>
              <w:rPr>
                <w:rFonts w:hint="eastAsia" w:ascii="Times New Roman" w:hAnsi="Times New Roman" w:eastAsia="宋体" w:cs="Times New Roman"/>
              </w:rPr>
              <w:t>万平方米；生产车间：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  实验中心</w:t>
            </w:r>
            <w:r>
              <w:rPr>
                <w:rFonts w:hint="eastAsia" w:ascii="Times New Roman" w:hAnsi="Times New Roman" w:eastAsia="宋体" w:cs="Times New Roman"/>
                <w:lang w:val="en-US" w:eastAsia="zh-CN"/>
              </w:rPr>
              <w:t>0</w:t>
            </w:r>
            <w:r>
              <w:rPr>
                <w:rFonts w:hint="eastAsia" w:ascii="Times New Roman" w:hAnsi="Times New Roman" w:eastAsia="宋体" w:cs="Times New Roman"/>
              </w:rPr>
              <w:t>个；</w:t>
            </w:r>
          </w:p>
          <w:p>
            <w:pPr>
              <w:rPr>
                <w:rFonts w:hint="default" w:ascii="Times New Roman" w:hAnsi="Times New Roman" w:eastAsia="宋体" w:cs="Times New Roman"/>
                <w:lang w:val="en-US"/>
              </w:rPr>
            </w:pPr>
            <w:r>
              <w:rPr>
                <w:rFonts w:hint="eastAsia" w:ascii="Times New Roman" w:hAnsi="Times New Roman" w:eastAsia="宋体" w:cs="Times New Roman"/>
              </w:rPr>
              <w:t xml:space="preserve">主要生产设备有：  </w:t>
            </w:r>
            <w:r>
              <w:rPr>
                <w:rFonts w:hint="eastAsia"/>
                <w:u w:val="single"/>
                <w:lang w:val="en-US" w:eastAsia="zh-CN"/>
              </w:rPr>
              <w:t>压铸机、冲床、高速单槽冲床、40吨定子压装设备、磨床、压力机</w:t>
            </w:r>
            <w:r>
              <w:rPr>
                <w:rFonts w:hint="eastAsia" w:ascii="Times New Roman" w:hAnsi="Times New Roman" w:eastAsia="宋体" w:cs="Times New Roman"/>
                <w:u w:val="single"/>
                <w:lang w:val="en-US" w:eastAsia="zh-CN"/>
              </w:rPr>
              <w:t>等</w:t>
            </w:r>
          </w:p>
          <w:p>
            <w:r>
              <w:rPr>
                <w:rFonts w:hint="eastAsia"/>
              </w:rPr>
              <w:t>主要</w:t>
            </w:r>
            <w:r>
              <w:rPr>
                <w:rFonts w:hint="eastAsia"/>
                <w:lang w:val="en-US" w:eastAsia="zh-CN"/>
              </w:rPr>
              <w:t>安全</w:t>
            </w:r>
            <w:r>
              <w:rPr>
                <w:rFonts w:hint="eastAsia"/>
              </w:rPr>
              <w:t>设备有：</w:t>
            </w:r>
            <w:r>
              <w:rPr>
                <w:rFonts w:hint="eastAsia"/>
                <w:u w:val="single"/>
              </w:rPr>
              <w:t xml:space="preserve">  </w:t>
            </w:r>
            <w:r>
              <w:rPr>
                <w:rFonts w:hint="eastAsia"/>
                <w:u w:val="single"/>
                <w:lang w:val="en-US" w:eastAsia="zh-CN"/>
              </w:rPr>
              <w:t>灭火器等</w:t>
            </w:r>
          </w:p>
          <w:p>
            <w:r>
              <w:rPr>
                <w:rFonts w:hint="eastAsia" w:ascii="Wingdings" w:hAnsi="Wingdings"/>
              </w:rPr>
              <w:sym w:font="Wingdings" w:char="00FE"/>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w:char="00FE"/>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sym w:font="Wingdings" w:char="00FE"/>
            </w:r>
            <w:r>
              <w:rPr>
                <w:rFonts w:hint="eastAsia"/>
              </w:rPr>
              <w:t>叉车</w:t>
            </w:r>
            <w:r>
              <w:rPr>
                <w:rFonts w:hint="eastAsia" w:ascii="Wingdings" w:hAnsi="Wingdings"/>
              </w:rPr>
              <w:sym w:font="Wingdings" w:char="00FE"/>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sym w:font="Wingdings" w:char="00A8"/>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w:char="00FE"/>
            </w:r>
            <w:r>
              <w:rPr>
                <w:rFonts w:hint="eastAsia"/>
              </w:rPr>
              <w:t>招聘</w:t>
            </w:r>
            <w:r>
              <w:rPr>
                <w:rFonts w:hint="eastAsia" w:ascii="Wingdings" w:hAnsi="Wingdings"/>
              </w:rPr>
              <w:sym w:font="Wingdings" w:char="00FE"/>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sym w:font="Wingdings" w:char="00A8"/>
            </w:r>
            <w:r>
              <w:rPr>
                <w:rFonts w:hint="eastAsia"/>
              </w:rPr>
              <w:t>电工</w:t>
            </w:r>
            <w:r>
              <w:rPr>
                <w:rFonts w:hint="eastAsia" w:ascii="Wingdings" w:hAnsi="Wingdings"/>
              </w:rPr>
              <w:sym w:font="Wingdings" w:char="00A8"/>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sym w:font="Wingdings" w:char="00FE"/>
            </w:r>
            <w:r>
              <w:rPr>
                <w:rFonts w:hint="eastAsia"/>
              </w:rPr>
              <w:t>叉车工</w:t>
            </w:r>
            <w:r>
              <w:rPr>
                <w:rFonts w:hint="eastAsia" w:ascii="Wingdings" w:hAnsi="Wingdings"/>
              </w:rPr>
              <w:sym w:font="Wingdings" w:char="00A8"/>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w:char="00FE"/>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w:char="00FE"/>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w:char="00FE"/>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sym w:font="Wingdings" w:char="00FE"/>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sym w:font="Wingdings" w:char="00FE"/>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w:char="00FE"/>
            </w:r>
            <w:r>
              <w:rPr>
                <w:rFonts w:hint="eastAsia"/>
              </w:rPr>
              <w:t>应急预案</w:t>
            </w:r>
            <w:r>
              <w:rPr>
                <w:rFonts w:hint="eastAsia" w:ascii="Wingdings" w:hAnsi="Wingdings"/>
              </w:rPr>
              <w:t>¨</w:t>
            </w:r>
            <w:r>
              <w:rPr>
                <w:rFonts w:hint="eastAsia"/>
              </w:rPr>
              <w:t>MSDS</w:t>
            </w:r>
            <w:r>
              <w:rPr>
                <w:rFonts w:hint="eastAsia" w:ascii="Wingdings" w:hAnsi="Wingdings"/>
              </w:rPr>
              <w:sym w:font="Wingdings" w:char="00FE"/>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w:char="00FE"/>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w:char="00FE"/>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r>
                    <w:rPr>
                      <w:rFonts w:hint="eastAsia"/>
                      <w:lang w:val="en-US" w:eastAsia="zh-CN"/>
                    </w:rPr>
                    <w:t>加强员工防火意识；</w:t>
                  </w:r>
                  <w:r>
                    <w:rPr>
                      <w:rFonts w:hint="eastAsia" w:ascii="Times New Roman" w:hAnsi="Times New Roman" w:eastAsia="宋体" w:cs="Times New Roman"/>
                      <w:lang w:val="en-US" w:eastAsia="zh-CN"/>
                    </w:rPr>
                    <w:t>加强消防设施检查</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lang w:val="en-US" w:eastAsia="zh-CN"/>
              </w:rPr>
              <w:t>叉车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sym w:font="Wingdings" w:char="00FE"/>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sym w:font="Wingdings" w:char="00FE"/>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sym w:font="Wingdings" w:char="00FE"/>
            </w:r>
            <w:r>
              <w:rPr>
                <w:rFonts w:hint="eastAsia"/>
              </w:rPr>
              <w:t>厂区和车间内布局</w:t>
            </w:r>
            <w:r>
              <w:rPr>
                <w:rFonts w:hint="eastAsia" w:ascii="Wingdings" w:hAnsi="Wingdings"/>
              </w:rPr>
              <w:sym w:font="Wingdings" w:char="00FE"/>
            </w:r>
            <w:r>
              <w:rPr>
                <w:rFonts w:hint="eastAsia"/>
              </w:rPr>
              <w:t>设备设施</w:t>
            </w:r>
            <w:r>
              <w:rPr>
                <w:rFonts w:hint="eastAsia" w:ascii="Wingdings" w:hAnsi="Wingdings"/>
              </w:rPr>
              <w:t>¨</w:t>
            </w:r>
            <w:r>
              <w:rPr>
                <w:rFonts w:hint="eastAsia"/>
              </w:rPr>
              <w:t>周边危险源</w:t>
            </w:r>
            <w:r>
              <w:rPr>
                <w:rFonts w:hint="eastAsia" w:ascii="Wingdings" w:hAnsi="Wingdings"/>
              </w:rPr>
              <w:sym w:font="Wingdings" w:char="00FE"/>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w:char="00FE"/>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sym w:font="Wingdings" w:char="00FE"/>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w:char="00FE"/>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22</w:t>
            </w:r>
            <w:r>
              <w:rPr>
                <w:rFonts w:hint="eastAsia"/>
              </w:rPr>
              <w:t>日进行了</w:t>
            </w:r>
            <w:r>
              <w:rPr>
                <w:rFonts w:hint="eastAsia"/>
                <w:lang w:val="en-US" w:eastAsia="zh-CN"/>
              </w:rPr>
              <w:t>消防火灾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sym w:font="Wingdings" w:char="00FE"/>
            </w: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w:char="00FE"/>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sym w:font="Wingdings" w:char="00FE"/>
            </w:r>
            <w:r>
              <w:rPr>
                <w:rFonts w:hint="eastAsia"/>
              </w:rPr>
              <w:t>入职</w:t>
            </w:r>
            <w:r>
              <w:rPr>
                <w:rFonts w:hint="eastAsia" w:ascii="Wingdings" w:hAnsi="Wingdings"/>
              </w:rPr>
              <w:t>¨</w:t>
            </w:r>
            <w:r>
              <w:rPr>
                <w:rFonts w:hint="eastAsia"/>
              </w:rPr>
              <w:t>离职</w:t>
            </w:r>
            <w:r>
              <w:rPr>
                <w:rFonts w:hint="eastAsia" w:ascii="Wingdings" w:hAnsi="Wingdings"/>
              </w:rPr>
              <w:sym w:font="Wingdings" w:char="00FE"/>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21-22</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sym w:font="Wingdings" w:char="00FE"/>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sym w:font="Wingdings" w:char="00FE"/>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w:char="00FE"/>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w:char="00FE"/>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pStyle w:val="13"/>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02DE06BB"/>
    <w:rsid w:val="152B44DF"/>
    <w:rsid w:val="1C1972EB"/>
    <w:rsid w:val="279951CF"/>
    <w:rsid w:val="35701FBB"/>
    <w:rsid w:val="6AC20C07"/>
    <w:rsid w:val="6B864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7</TotalTime>
  <ScaleCrop>false</ScaleCrop>
  <LinksUpToDate>false</LinksUpToDate>
  <CharactersWithSpaces>21168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2022-07-10T17:53:01Z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