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0761-2022-QEO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江西益之洁环保技术有限公司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江西益之洁环保技术有限公司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江西省九江市都昌县芙蓉山工业园皇赐路以东</w:t>
            </w:r>
            <w:bookmarkEnd w:id="6"/>
          </w:p>
        </w:tc>
        <w:tc>
          <w:tcPr>
            <w:tcW w:w="1242" w:type="dxa"/>
            <w:vMerge w:val="restart"/>
            <w:vAlign w:val="center"/>
          </w:tcPr>
          <w:p>
            <w:r>
              <w:rPr>
                <w:rFonts w:hint="eastAsia"/>
              </w:rPr>
              <w:t>邮编</w:t>
            </w:r>
          </w:p>
        </w:tc>
        <w:tc>
          <w:tcPr>
            <w:tcW w:w="1771" w:type="dxa"/>
          </w:tcPr>
          <w:p>
            <w:bookmarkStart w:id="7" w:name="注册邮编"/>
            <w:r>
              <w:t>332600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江西省九江市都昌县芙蓉山工业园皇赐路以东</w:t>
            </w:r>
            <w:bookmarkEnd w:id="8"/>
          </w:p>
        </w:tc>
        <w:tc>
          <w:tcPr>
            <w:tcW w:w="1242" w:type="dxa"/>
            <w:vMerge w:val="continue"/>
            <w:vAlign w:val="center"/>
          </w:tcPr>
          <w:p/>
        </w:tc>
        <w:tc>
          <w:tcPr>
            <w:tcW w:w="1771" w:type="dxa"/>
          </w:tcPr>
          <w:p>
            <w:bookmarkStart w:id="9" w:name="办公邮编"/>
            <w:r>
              <w:t>332600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徐小辉</w:t>
            </w:r>
            <w:bookmarkEnd w:id="10"/>
          </w:p>
        </w:tc>
        <w:tc>
          <w:tcPr>
            <w:tcW w:w="1313" w:type="dxa"/>
            <w:vAlign w:val="center"/>
          </w:tcPr>
          <w:p>
            <w:r>
              <w:rPr>
                <w:rFonts w:hint="eastAsia"/>
              </w:rPr>
              <w:t>电话.</w:t>
            </w:r>
          </w:p>
        </w:tc>
        <w:tc>
          <w:tcPr>
            <w:tcW w:w="2180" w:type="dxa"/>
            <w:vAlign w:val="center"/>
          </w:tcPr>
          <w:p>
            <w:bookmarkStart w:id="11" w:name="联系人电话"/>
            <w:r>
              <w:t>13697917852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邱俊</w:t>
            </w:r>
            <w:bookmarkEnd w:id="13"/>
          </w:p>
        </w:tc>
        <w:tc>
          <w:tcPr>
            <w:tcW w:w="1313" w:type="dxa"/>
            <w:vAlign w:val="center"/>
          </w:tcPr>
          <w:p>
            <w:r>
              <w:rPr>
                <w:rFonts w:hint="eastAsia"/>
              </w:rPr>
              <w:t>管理者代表</w:t>
            </w:r>
          </w:p>
        </w:tc>
        <w:tc>
          <w:tcPr>
            <w:tcW w:w="2180" w:type="dxa"/>
          </w:tcPr>
          <w:p>
            <w:bookmarkStart w:id="14" w:name="管理者代表"/>
            <w:r>
              <w:t>邱进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lang w:val="en-US" w:eastAsia="zh-CN"/>
              </w:rPr>
              <w:t>剪板下料——拼装焊接——机加工——组装——打磨——检验——调试——喷漆/喷涂——包装入库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2022年06月06日 上午至2022年06月07日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p>
          <w:p>
            <w:pPr>
              <w:rPr>
                <w:lang w:val="de-DE"/>
              </w:rPr>
            </w:pPr>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江西省九江市都昌县芙蓉山工业园皇赐路以东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A3"/>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Q：环保设备（污水处理设备、废气处理设备）的制造</w:t>
            </w:r>
          </w:p>
          <w:p>
            <w:r>
              <w:t>E：环保设备（污水处理设备、废气处理设备）的制造所涉及场所的相关环境管理活动</w:t>
            </w:r>
          </w:p>
          <w:p>
            <w:r>
              <w:t>O：环保设备（污水处理设备、废气处理设备）的制造所涉及场所的相关职业健康安全管理活动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Q：18.05.07</w:t>
            </w:r>
          </w:p>
          <w:p>
            <w:r>
              <w:t>E：18.05.07</w:t>
            </w:r>
          </w:p>
          <w:p>
            <w:r>
              <w:t>O：18.05.07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体系文件实施时间</w:t>
            </w:r>
          </w:p>
        </w:tc>
        <w:tc>
          <w:tcPr>
            <w:tcW w:w="2733" w:type="dxa"/>
          </w:tcPr>
          <w:p>
            <w:r>
              <w:rPr>
                <w:rFonts w:hint="eastAsia"/>
              </w:rPr>
              <w:t>2022年01月15日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w:t>
            </w:r>
            <w:r>
              <w:rPr>
                <w:rFonts w:hint="eastAsia"/>
                <w:lang w:eastAsia="zh-CN"/>
              </w:rPr>
              <w:t>（一阶段）</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江西益之洁环保技术有限公司</w:t>
            </w:r>
          </w:p>
          <w:p>
            <w:pPr>
              <w:pStyle w:val="12"/>
              <w:rPr>
                <w:lang w:val="de-DE" w:eastAsia="ja-JP"/>
              </w:rPr>
            </w:pPr>
            <w:r>
              <w:rPr>
                <w:rFonts w:hint="eastAsia"/>
                <w:lang w:val="de-DE" w:eastAsia="ja-JP"/>
              </w:rPr>
              <w:t>江西省九江市都昌县芙蓉山工业园皇赐路以东</w:t>
            </w:r>
          </w:p>
        </w:tc>
        <w:tc>
          <w:tcPr>
            <w:tcW w:w="2267" w:type="dxa"/>
          </w:tcPr>
          <w:p>
            <w:pPr>
              <w:rPr>
                <w:lang w:val="de-DE" w:eastAsia="ja-JP"/>
              </w:rPr>
            </w:pPr>
            <w:r>
              <w:rPr>
                <w:rFonts w:hint="eastAsia"/>
                <w:lang w:val="de-DE" w:eastAsia="ja-JP"/>
              </w:rPr>
              <w:t>江西省九江市都昌县芙蓉山工业园皇赐路以东</w:t>
            </w:r>
          </w:p>
        </w:tc>
        <w:tc>
          <w:tcPr>
            <w:tcW w:w="571" w:type="dxa"/>
            <w:vAlign w:val="center"/>
          </w:tcPr>
          <w:p>
            <w:pPr>
              <w:rPr>
                <w:rFonts w:hint="default" w:eastAsia="宋体"/>
                <w:lang w:val="en-US" w:eastAsia="zh-CN"/>
              </w:rPr>
            </w:pPr>
            <w:r>
              <w:rPr>
                <w:rFonts w:hint="eastAsia"/>
                <w:lang w:val="en-US" w:eastAsia="zh-CN"/>
              </w:rPr>
              <w:t>21</w:t>
            </w:r>
          </w:p>
        </w:tc>
        <w:tc>
          <w:tcPr>
            <w:tcW w:w="2803" w:type="dxa"/>
            <w:vAlign w:val="center"/>
          </w:tcPr>
          <w:p>
            <w:pPr>
              <w:rPr>
                <w:lang w:eastAsia="ja-JP"/>
              </w:rPr>
            </w:pPr>
            <w:r>
              <w:rPr>
                <w:rFonts w:hint="eastAsia"/>
                <w:lang w:eastAsia="ja-JP"/>
              </w:rPr>
              <w:t>环保设备（污水处理设备、废气处理设备）的制造</w:t>
            </w:r>
          </w:p>
        </w:tc>
        <w:tc>
          <w:tcPr>
            <w:tcW w:w="669" w:type="dxa"/>
            <w:vAlign w:val="center"/>
          </w:tcPr>
          <w:p>
            <w:pPr>
              <w:rPr>
                <w:rFonts w:hint="default" w:eastAsia="宋体"/>
                <w:lang w:val="en-US" w:eastAsia="zh-CN"/>
              </w:rPr>
            </w:pPr>
            <w:r>
              <w:rPr>
                <w:rFonts w:hint="eastAsia"/>
                <w:lang w:val="en-US" w:eastAsia="zh-CN"/>
              </w:rPr>
              <w:t>QEO</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2019-N1OHSMS-2068076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彭鹰</w:t>
            </w:r>
          </w:p>
        </w:tc>
        <w:tc>
          <w:tcPr>
            <w:tcW w:w="1089" w:type="dxa"/>
            <w:vAlign w:val="center"/>
          </w:tcPr>
          <w:p>
            <w:r>
              <w:t>组员</w:t>
            </w:r>
          </w:p>
        </w:tc>
        <w:tc>
          <w:tcPr>
            <w:tcW w:w="711" w:type="dxa"/>
            <w:vAlign w:val="center"/>
          </w:tcPr>
          <w:p>
            <w:r>
              <w:t>女</w:t>
            </w:r>
          </w:p>
        </w:tc>
        <w:tc>
          <w:tcPr>
            <w:tcW w:w="3870" w:type="dxa"/>
            <w:vAlign w:val="center"/>
          </w:tcPr>
          <w:p>
            <w:r>
              <w:t>2022-N1QMS-1269415</w:t>
            </w:r>
          </w:p>
          <w:p>
            <w:r>
              <w:t>2022-N1EMS-1269415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曾赣玲</w:t>
            </w:r>
          </w:p>
        </w:tc>
        <w:tc>
          <w:tcPr>
            <w:tcW w:w="1089" w:type="dxa"/>
            <w:vAlign w:val="center"/>
          </w:tcPr>
          <w:p>
            <w:r>
              <w:t>组员</w:t>
            </w:r>
          </w:p>
        </w:tc>
        <w:tc>
          <w:tcPr>
            <w:tcW w:w="711" w:type="dxa"/>
            <w:vAlign w:val="center"/>
          </w:tcPr>
          <w:p>
            <w:r>
              <w:t>女</w:t>
            </w:r>
          </w:p>
        </w:tc>
        <w:tc>
          <w:tcPr>
            <w:tcW w:w="3870" w:type="dxa"/>
            <w:vAlign w:val="center"/>
          </w:tcPr>
          <w:p>
            <w:r>
              <w:t>2021-N1QMS-1286307</w:t>
            </w:r>
          </w:p>
          <w:p>
            <w:r>
              <w:t>2021-N1EMS-1286307</w:t>
            </w:r>
          </w:p>
          <w:p>
            <w:r>
              <w:t>2021-N1OHSMS-1286307</w:t>
            </w:r>
          </w:p>
        </w:tc>
        <w:tc>
          <w:tcPr>
            <w:tcW w:w="2179" w:type="dxa"/>
            <w:vAlign w:val="center"/>
          </w:tcPr>
          <w:p>
            <w:r>
              <w:t>Q:18.05.07</w:t>
            </w:r>
          </w:p>
          <w:p>
            <w:r>
              <w:t>E:18.05.07</w:t>
            </w:r>
          </w:p>
          <w:p>
            <w:r>
              <w:t>O:18.05.07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bookmarkStart w:id="34" w:name="_GoBack"/>
            <w:bookmarkEnd w:id="34"/>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4"/>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44"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44"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44"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44" w:type="dxa"/>
          </w:tcPr>
          <w:p>
            <w:r>
              <w:rPr>
                <w:rFonts w:hint="eastAsia"/>
              </w:rPr>
              <w:t>审核组长签字</w:t>
            </w:r>
          </w:p>
        </w:tc>
        <w:tc>
          <w:tcPr>
            <w:tcW w:w="2764" w:type="dxa"/>
            <w:tcMar>
              <w:left w:w="113" w:type="dxa"/>
            </w:tcMar>
          </w:tcPr>
          <w:p>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220980</wp:posOffset>
                  </wp:positionH>
                  <wp:positionV relativeFrom="paragraph">
                    <wp:posOffset>-4445</wp:posOffset>
                  </wp:positionV>
                  <wp:extent cx="747395" cy="450215"/>
                  <wp:effectExtent l="0" t="0" r="14605" b="698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47395" cy="45021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2022.6.7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 xml:space="preserve">质量至上、持续创新、诚实守信、顾客至上 </w:t>
            </w:r>
          </w:p>
          <w:p>
            <w:pPr>
              <w:shd w:val="clear" w:color="auto" w:fill="C7DAF1" w:themeFill="text2" w:themeFillTint="32"/>
              <w:rPr>
                <w:u w:val="single"/>
              </w:rPr>
            </w:pPr>
            <w:r>
              <w:rPr>
                <w:rFonts w:hint="eastAsia"/>
                <w:u w:val="single"/>
              </w:rPr>
              <w:t>预防为主，降低风险；遵章守法，减污降耗</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制造部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国家政策</w:t>
                  </w:r>
                </w:p>
              </w:tc>
              <w:tc>
                <w:tcPr>
                  <w:tcW w:w="3965"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竞争对手</w:t>
                  </w:r>
                </w:p>
              </w:tc>
              <w:tc>
                <w:tcPr>
                  <w:tcW w:w="3965" w:type="dxa"/>
                </w:tcPr>
                <w:p>
                  <w:pPr>
                    <w:shd w:val="clear" w:color="auto" w:fill="C7DAF1" w:themeFill="text2" w:themeFillTint="32"/>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2768"/>
              <w:gridCol w:w="1064"/>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768"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64"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40"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shd w:val="clear" w:color="auto" w:fill="auto"/>
                  <w:vAlign w:val="top"/>
                </w:tcPr>
                <w:p>
                  <w:pPr>
                    <w:spacing w:after="0"/>
                  </w:pPr>
                  <w:r>
                    <w:rPr>
                      <w:rFonts w:hint="eastAsia" w:ascii="宋体" w:hAnsi="宋体" w:eastAsia="宋体" w:cs="宋体"/>
                      <w:sz w:val="20"/>
                      <w:szCs w:val="20"/>
                    </w:rPr>
                    <w:t>产品出厂合格率100%</w:t>
                  </w:r>
                </w:p>
              </w:tc>
              <w:tc>
                <w:tcPr>
                  <w:tcW w:w="2768" w:type="dxa"/>
                  <w:shd w:val="clear" w:color="auto" w:fill="auto"/>
                  <w:vAlign w:val="top"/>
                </w:tcPr>
                <w:p>
                  <w:pPr>
                    <w:spacing w:after="0"/>
                    <w:rPr>
                      <w:lang w:val="en-GB"/>
                    </w:rPr>
                  </w:pPr>
                  <w:r>
                    <w:rPr>
                      <w:rFonts w:hint="eastAsia"/>
                      <w:sz w:val="21"/>
                      <w:szCs w:val="21"/>
                    </w:rPr>
                    <w:t>合格数÷总数×</w:t>
                  </w:r>
                  <w:r>
                    <w:rPr>
                      <w:sz w:val="21"/>
                      <w:szCs w:val="21"/>
                    </w:rPr>
                    <w:t>100%</w:t>
                  </w:r>
                </w:p>
              </w:tc>
              <w:tc>
                <w:tcPr>
                  <w:tcW w:w="1064" w:type="dxa"/>
                  <w:shd w:val="clear" w:color="auto" w:fill="auto"/>
                  <w:vAlign w:val="top"/>
                </w:tcPr>
                <w:p>
                  <w:pPr>
                    <w:spacing w:after="0"/>
                    <w:rPr>
                      <w:rFonts w:hint="eastAsia" w:eastAsia="宋体"/>
                      <w:lang w:val="en-GB" w:eastAsia="zh-CN"/>
                    </w:rPr>
                  </w:pPr>
                  <w:r>
                    <w:rPr>
                      <w:rFonts w:hint="eastAsia"/>
                      <w:lang w:val="en-GB" w:eastAsia="zh-CN"/>
                    </w:rPr>
                    <w:t>制造部</w:t>
                  </w:r>
                </w:p>
              </w:tc>
              <w:tc>
                <w:tcPr>
                  <w:tcW w:w="1640" w:type="dxa"/>
                  <w:shd w:val="clear" w:color="auto" w:fill="auto"/>
                  <w:vAlign w:val="center"/>
                </w:tcPr>
                <w:p>
                  <w:pPr>
                    <w:shd w:val="clear" w:color="auto" w:fill="C7DAF1" w:themeFill="text2" w:themeFillTint="32"/>
                    <w:jc w:val="center"/>
                    <w:rPr>
                      <w:rFonts w:ascii="宋体" w:hAnsi="宋体"/>
                      <w:lang w:val="en-GB"/>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shd w:val="clear" w:color="auto" w:fill="auto"/>
                  <w:vAlign w:val="top"/>
                </w:tcPr>
                <w:p>
                  <w:pPr>
                    <w:spacing w:after="0"/>
                  </w:pPr>
                  <w:r>
                    <w:rPr>
                      <w:rFonts w:hint="eastAsia" w:ascii="宋体" w:hAnsi="宋体"/>
                      <w:color w:val="000000"/>
                      <w:sz w:val="21"/>
                      <w:szCs w:val="21"/>
                    </w:rPr>
                    <w:t>产品一次交验合格率≥</w:t>
                  </w:r>
                  <w:r>
                    <w:rPr>
                      <w:rFonts w:ascii="宋体" w:hAnsi="宋体"/>
                      <w:color w:val="000000"/>
                      <w:sz w:val="21"/>
                      <w:szCs w:val="21"/>
                    </w:rPr>
                    <w:t>9</w:t>
                  </w:r>
                  <w:r>
                    <w:rPr>
                      <w:rFonts w:hint="eastAsia" w:ascii="宋体" w:hAnsi="宋体"/>
                      <w:color w:val="000000"/>
                      <w:sz w:val="21"/>
                      <w:szCs w:val="21"/>
                    </w:rPr>
                    <w:t>5%</w:t>
                  </w:r>
                </w:p>
              </w:tc>
              <w:tc>
                <w:tcPr>
                  <w:tcW w:w="2768" w:type="dxa"/>
                  <w:shd w:val="clear" w:color="auto" w:fill="auto"/>
                  <w:vAlign w:val="top"/>
                </w:tcPr>
                <w:p>
                  <w:pPr>
                    <w:spacing w:after="0"/>
                    <w:rPr>
                      <w:rFonts w:ascii="宋体" w:hAnsi="宋体"/>
                    </w:rPr>
                  </w:pPr>
                  <w:r>
                    <w:rPr>
                      <w:rFonts w:hint="eastAsia"/>
                      <w:sz w:val="21"/>
                      <w:szCs w:val="21"/>
                    </w:rPr>
                    <w:t>合格数÷总数×</w:t>
                  </w:r>
                  <w:r>
                    <w:rPr>
                      <w:sz w:val="21"/>
                      <w:szCs w:val="21"/>
                    </w:rPr>
                    <w:t>100%</w:t>
                  </w:r>
                </w:p>
              </w:tc>
              <w:tc>
                <w:tcPr>
                  <w:tcW w:w="1064" w:type="dxa"/>
                  <w:shd w:val="clear" w:color="auto" w:fill="auto"/>
                  <w:vAlign w:val="top"/>
                </w:tcPr>
                <w:p>
                  <w:pPr>
                    <w:spacing w:after="0"/>
                    <w:rPr>
                      <w:rFonts w:hint="eastAsia" w:ascii="宋体" w:hAnsi="宋体" w:eastAsia="宋体"/>
                      <w:lang w:eastAsia="zh-CN"/>
                    </w:rPr>
                  </w:pPr>
                  <w:r>
                    <w:rPr>
                      <w:rFonts w:hint="eastAsia" w:ascii="宋体" w:hAnsi="宋体"/>
                      <w:lang w:eastAsia="zh-CN"/>
                    </w:rPr>
                    <w:t>制造部</w:t>
                  </w:r>
                </w:p>
              </w:tc>
              <w:tc>
                <w:tcPr>
                  <w:tcW w:w="1640" w:type="dxa"/>
                  <w:shd w:val="clear" w:color="auto" w:fill="auto"/>
                  <w:vAlign w:val="center"/>
                </w:tcPr>
                <w:p>
                  <w:pPr>
                    <w:shd w:val="clear" w:color="auto" w:fill="C7DAF1" w:themeFill="text2" w:themeFillTint="32"/>
                    <w:jc w:val="center"/>
                    <w:rPr>
                      <w:rFonts w:ascii="宋体" w:hAnsi="宋体"/>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shd w:val="clear" w:color="auto" w:fill="auto"/>
                  <w:vAlign w:val="top"/>
                </w:tcPr>
                <w:p>
                  <w:pPr>
                    <w:spacing w:after="0"/>
                  </w:pPr>
                  <w:r>
                    <w:rPr>
                      <w:rFonts w:hint="eastAsia" w:ascii="宋体" w:hAnsi="宋体"/>
                      <w:color w:val="000000"/>
                      <w:sz w:val="21"/>
                      <w:szCs w:val="21"/>
                    </w:rPr>
                    <w:t>顾客满意率大于9</w:t>
                  </w:r>
                  <w:r>
                    <w:rPr>
                      <w:rFonts w:hint="eastAsia" w:ascii="宋体" w:hAnsi="宋体"/>
                      <w:color w:val="000000"/>
                      <w:sz w:val="21"/>
                      <w:szCs w:val="21"/>
                      <w:lang w:val="en-US" w:eastAsia="zh-CN"/>
                    </w:rPr>
                    <w:t>5</w:t>
                  </w:r>
                  <w:r>
                    <w:rPr>
                      <w:rFonts w:hint="eastAsia" w:ascii="宋体" w:hAnsi="宋体"/>
                      <w:color w:val="000000"/>
                      <w:sz w:val="21"/>
                      <w:szCs w:val="21"/>
                    </w:rPr>
                    <w:t>分</w:t>
                  </w:r>
                </w:p>
              </w:tc>
              <w:tc>
                <w:tcPr>
                  <w:tcW w:w="2768" w:type="dxa"/>
                  <w:shd w:val="clear" w:color="auto" w:fill="auto"/>
                  <w:vAlign w:val="top"/>
                </w:tcPr>
                <w:p>
                  <w:pPr>
                    <w:spacing w:after="0"/>
                    <w:rPr>
                      <w:rFonts w:ascii="宋体" w:hAnsi="宋体"/>
                    </w:rPr>
                  </w:pPr>
                  <w:r>
                    <w:rPr>
                      <w:rFonts w:hint="eastAsia"/>
                      <w:sz w:val="21"/>
                      <w:szCs w:val="21"/>
                    </w:rPr>
                    <w:t>评定数÷总数×</w:t>
                  </w:r>
                  <w:r>
                    <w:rPr>
                      <w:sz w:val="21"/>
                      <w:szCs w:val="21"/>
                    </w:rPr>
                    <w:t>100%</w:t>
                  </w:r>
                </w:p>
              </w:tc>
              <w:tc>
                <w:tcPr>
                  <w:tcW w:w="1064" w:type="dxa"/>
                  <w:shd w:val="clear" w:color="auto" w:fill="auto"/>
                  <w:vAlign w:val="top"/>
                </w:tcPr>
                <w:p>
                  <w:pPr>
                    <w:spacing w:after="0"/>
                    <w:rPr>
                      <w:rFonts w:hint="eastAsia" w:ascii="宋体" w:hAnsi="宋体" w:eastAsia="宋体"/>
                      <w:lang w:eastAsia="zh-CN"/>
                    </w:rPr>
                  </w:pPr>
                  <w:r>
                    <w:rPr>
                      <w:rFonts w:hint="eastAsia" w:ascii="宋体" w:hAnsi="宋体"/>
                      <w:lang w:eastAsia="zh-CN"/>
                    </w:rPr>
                    <w:t>供销部</w:t>
                  </w:r>
                </w:p>
              </w:tc>
              <w:tc>
                <w:tcPr>
                  <w:tcW w:w="1640" w:type="dxa"/>
                  <w:shd w:val="clear" w:color="auto" w:fill="auto"/>
                  <w:vAlign w:val="center"/>
                </w:tcPr>
                <w:p>
                  <w:pPr>
                    <w:shd w:val="clear" w:color="auto" w:fill="C7DAF1" w:themeFill="text2" w:themeFillTint="32"/>
                    <w:jc w:val="center"/>
                    <w:rPr>
                      <w:rFonts w:ascii="宋体" w:hAnsi="宋体"/>
                    </w:rPr>
                  </w:pPr>
                  <w:r>
                    <w:rPr>
                      <w:rFonts w:hint="eastAsia" w:ascii="宋体" w:hAnsi="宋体"/>
                      <w:color w:val="000000"/>
                      <w:sz w:val="21"/>
                      <w:szCs w:val="21"/>
                    </w:rPr>
                    <w:t>9</w:t>
                  </w:r>
                  <w:r>
                    <w:rPr>
                      <w:rFonts w:hint="eastAsia" w:ascii="宋体" w:hAnsi="宋体"/>
                      <w:color w:val="000000"/>
                      <w:sz w:val="21"/>
                      <w:szCs w:val="21"/>
                      <w:lang w:val="en-US" w:eastAsia="zh-CN"/>
                    </w:rPr>
                    <w:t>7</w:t>
                  </w:r>
                  <w:r>
                    <w:rPr>
                      <w:rFonts w:hint="eastAsia" w:ascii="宋体" w:hAnsi="宋体"/>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shd w:val="clear" w:color="auto" w:fill="auto"/>
                </w:tcPr>
                <w:p>
                  <w:pPr>
                    <w:shd w:val="clear" w:color="auto" w:fill="C7DAF1" w:themeFill="text2" w:themeFillTint="32"/>
                  </w:pPr>
                </w:p>
              </w:tc>
              <w:tc>
                <w:tcPr>
                  <w:tcW w:w="2768" w:type="dxa"/>
                  <w:shd w:val="clear" w:color="auto" w:fill="auto"/>
                  <w:vAlign w:val="center"/>
                </w:tcPr>
                <w:p>
                  <w:pPr>
                    <w:shd w:val="clear" w:color="auto" w:fill="C7DAF1" w:themeFill="text2" w:themeFillTint="32"/>
                    <w:rPr>
                      <w:rFonts w:ascii="宋体" w:hAnsi="宋体"/>
                    </w:rPr>
                  </w:pPr>
                </w:p>
              </w:tc>
              <w:tc>
                <w:tcPr>
                  <w:tcW w:w="1064" w:type="dxa"/>
                  <w:shd w:val="clear" w:color="auto" w:fill="auto"/>
                  <w:vAlign w:val="center"/>
                </w:tcPr>
                <w:p>
                  <w:pPr>
                    <w:shd w:val="clear" w:color="auto" w:fill="C7DAF1" w:themeFill="text2" w:themeFillTint="32"/>
                    <w:rPr>
                      <w:rFonts w:ascii="宋体" w:hAnsi="宋体"/>
                    </w:rPr>
                  </w:pPr>
                </w:p>
              </w:tc>
              <w:tc>
                <w:tcPr>
                  <w:tcW w:w="1640"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shd w:val="clear" w:color="auto" w:fill="auto"/>
                </w:tcPr>
                <w:p>
                  <w:pPr>
                    <w:shd w:val="clear" w:color="auto" w:fill="C7DAF1" w:themeFill="text2" w:themeFillTint="32"/>
                  </w:pPr>
                </w:p>
              </w:tc>
              <w:tc>
                <w:tcPr>
                  <w:tcW w:w="2768" w:type="dxa"/>
                  <w:shd w:val="clear" w:color="auto" w:fill="auto"/>
                  <w:vAlign w:val="center"/>
                </w:tcPr>
                <w:p>
                  <w:pPr>
                    <w:shd w:val="clear" w:color="auto" w:fill="C7DAF1" w:themeFill="text2" w:themeFillTint="32"/>
                    <w:rPr>
                      <w:rFonts w:ascii="宋体" w:hAnsi="宋体"/>
                    </w:rPr>
                  </w:pPr>
                </w:p>
              </w:tc>
              <w:tc>
                <w:tcPr>
                  <w:tcW w:w="1064" w:type="dxa"/>
                  <w:shd w:val="clear" w:color="auto" w:fill="auto"/>
                  <w:vAlign w:val="center"/>
                </w:tcPr>
                <w:p>
                  <w:pPr>
                    <w:shd w:val="clear" w:color="auto" w:fill="C7DAF1" w:themeFill="text2" w:themeFillTint="32"/>
                    <w:rPr>
                      <w:rFonts w:ascii="宋体" w:hAnsi="宋体"/>
                    </w:rPr>
                  </w:pPr>
                </w:p>
              </w:tc>
              <w:tc>
                <w:tcPr>
                  <w:tcW w:w="1640"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宋体" w:hAnsi="宋体" w:eastAsia="宋体" w:cs="Arial"/>
                <w:color w:val="auto"/>
                <w:spacing w:val="-6"/>
                <w:sz w:val="21"/>
                <w:szCs w:val="21"/>
                <w:lang w:val="en-US" w:eastAsia="zh-CN"/>
              </w:rPr>
              <w:t>10000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全自动机械卷板机、数控切割机/火焰下料机、喷涂机、电焊机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7"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游标卡尺、钢卷尺、塞尺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4"/>
              <w:gridCol w:w="2550"/>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shd w:val="clear" w:color="auto" w:fill="C7DAF1" w:themeFill="text2" w:themeFillTint="32"/>
                    <w:jc w:val="left"/>
                  </w:pPr>
                  <w:r>
                    <w:rPr>
                      <w:rFonts w:hint="eastAsia"/>
                    </w:rPr>
                    <w:t>产品/服务名称</w:t>
                  </w:r>
                </w:p>
              </w:tc>
              <w:tc>
                <w:tcPr>
                  <w:tcW w:w="2550" w:type="dxa"/>
                </w:tcPr>
                <w:p>
                  <w:pPr>
                    <w:shd w:val="clear" w:color="auto" w:fill="C7DAF1" w:themeFill="text2" w:themeFillTint="32"/>
                    <w:jc w:val="left"/>
                  </w:pPr>
                  <w:r>
                    <w:rPr>
                      <w:rFonts w:hint="eastAsia"/>
                    </w:rPr>
                    <w:t>关键过程</w:t>
                  </w:r>
                </w:p>
              </w:tc>
              <w:tc>
                <w:tcPr>
                  <w:tcW w:w="2788"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shd w:val="clear" w:color="auto" w:fill="C7DAF1" w:themeFill="text2" w:themeFillTint="32"/>
                    <w:jc w:val="left"/>
                  </w:pPr>
                  <w:r>
                    <w:rPr>
                      <w:rFonts w:hint="eastAsia"/>
                    </w:rPr>
                    <w:t>环保设备（污水处理设备、废气处理设备）的制造</w:t>
                  </w:r>
                </w:p>
              </w:tc>
              <w:tc>
                <w:tcPr>
                  <w:tcW w:w="2550" w:type="dxa"/>
                </w:tcPr>
                <w:p>
                  <w:pPr>
                    <w:shd w:val="clear" w:color="auto" w:fill="C7DAF1" w:themeFill="text2" w:themeFillTint="32"/>
                    <w:jc w:val="left"/>
                    <w:rPr>
                      <w:rFonts w:hint="default" w:eastAsia="宋体"/>
                      <w:lang w:val="en-US" w:eastAsia="zh-CN"/>
                    </w:rPr>
                  </w:pPr>
                  <w:r>
                    <w:rPr>
                      <w:rFonts w:hint="eastAsia"/>
                      <w:lang w:eastAsia="zh-CN"/>
                    </w:rPr>
                    <w:t>下料、焊接、喷漆</w:t>
                  </w:r>
                  <w:r>
                    <w:rPr>
                      <w:rFonts w:hint="eastAsia"/>
                      <w:lang w:val="en-US" w:eastAsia="zh-CN"/>
                    </w:rPr>
                    <w:t>/喷涂</w:t>
                  </w:r>
                </w:p>
              </w:tc>
              <w:tc>
                <w:tcPr>
                  <w:tcW w:w="2788" w:type="dxa"/>
                </w:tcPr>
                <w:p>
                  <w:pPr>
                    <w:shd w:val="clear" w:color="auto" w:fill="C7DAF1" w:themeFill="text2" w:themeFillTint="32"/>
                    <w:jc w:val="left"/>
                    <w:rPr>
                      <w:rFonts w:hint="eastAsia" w:eastAsia="宋体"/>
                      <w:lang w:eastAsia="zh-CN"/>
                    </w:rPr>
                  </w:pPr>
                  <w:r>
                    <w:rPr>
                      <w:rFonts w:hint="eastAsia"/>
                      <w:lang w:eastAsia="zh-CN"/>
                    </w:rPr>
                    <w:t>尺寸、电压、电流、时间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shd w:val="clear" w:color="auto" w:fill="C7DAF1" w:themeFill="text2" w:themeFillTint="32"/>
                    <w:jc w:val="left"/>
                  </w:pPr>
                </w:p>
              </w:tc>
              <w:tc>
                <w:tcPr>
                  <w:tcW w:w="2550" w:type="dxa"/>
                </w:tcPr>
                <w:p>
                  <w:pPr>
                    <w:shd w:val="clear" w:color="auto" w:fill="C7DAF1" w:themeFill="text2" w:themeFillTint="32"/>
                    <w:jc w:val="left"/>
                  </w:pPr>
                </w:p>
              </w:tc>
              <w:tc>
                <w:tcPr>
                  <w:tcW w:w="2788"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shd w:val="clear" w:color="auto" w:fill="C7DAF1" w:themeFill="text2" w:themeFillTint="32"/>
                    <w:jc w:val="left"/>
                  </w:pPr>
                </w:p>
              </w:tc>
              <w:tc>
                <w:tcPr>
                  <w:tcW w:w="2550" w:type="dxa"/>
                </w:tcPr>
                <w:p>
                  <w:pPr>
                    <w:shd w:val="clear" w:color="auto" w:fill="C7DAF1" w:themeFill="text2" w:themeFillTint="32"/>
                    <w:jc w:val="left"/>
                  </w:pPr>
                </w:p>
              </w:tc>
              <w:tc>
                <w:tcPr>
                  <w:tcW w:w="2788"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焊接、喷漆</w:t>
            </w:r>
            <w:r>
              <w:rPr>
                <w:rFonts w:hint="eastAsia"/>
                <w:lang w:val="en-US" w:eastAsia="zh-CN"/>
              </w:rPr>
              <w:t>/喷涂</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sym w:font="Wingdings 2" w:char="00A3"/>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eastAsia="zh-CN"/>
              </w:rPr>
              <w:t>检测报告</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通过年度策划于2022年5月10-11日实施了质量管理体系内部审核，对质量管理体系的符合性和有效性进行了审核。内审发现的项不符合在本次审核前已完成整改。在公司内完成的这些审核是可信的。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rPr>
              <w:t>2022年5月25日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A3"/>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质量至上、持续创新、诚实守信、顾客至上 </w:t>
            </w:r>
          </w:p>
          <w:p>
            <w:pPr>
              <w:shd w:val="clear" w:color="auto" w:fill="EBF1DE" w:themeFill="accent3" w:themeFillTint="32"/>
              <w:rPr>
                <w:u w:val="single"/>
              </w:rPr>
            </w:pPr>
            <w:r>
              <w:rPr>
                <w:rFonts w:hint="eastAsia"/>
                <w:u w:val="single"/>
              </w:rPr>
              <w:t>预防为主，降低风险；遵章守法，减污降耗</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制造部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2332"/>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4" w:type="dxa"/>
                </w:tcPr>
                <w:p>
                  <w:pPr>
                    <w:shd w:val="clear" w:color="auto" w:fill="EBF1DE" w:themeFill="accent3" w:themeFillTint="32"/>
                  </w:pPr>
                  <w:r>
                    <w:rPr>
                      <w:rFonts w:hint="eastAsia"/>
                    </w:rPr>
                    <w:t>主要的风险或机遇描述</w:t>
                  </w:r>
                </w:p>
              </w:tc>
              <w:tc>
                <w:tcPr>
                  <w:tcW w:w="2332" w:type="dxa"/>
                </w:tcPr>
                <w:p>
                  <w:pPr>
                    <w:shd w:val="clear" w:color="auto" w:fill="EBF1DE" w:themeFill="accent3" w:themeFillTint="32"/>
                  </w:pPr>
                  <w:r>
                    <w:rPr>
                      <w:rFonts w:hint="eastAsia"/>
                    </w:rPr>
                    <w:t>应对措施</w:t>
                  </w:r>
                </w:p>
              </w:tc>
              <w:tc>
                <w:tcPr>
                  <w:tcW w:w="1506"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4" w:type="dxa"/>
                </w:tcPr>
                <w:p>
                  <w:pPr>
                    <w:shd w:val="clear" w:color="auto" w:fill="EBF1DE" w:themeFill="accent3" w:themeFillTint="32"/>
                  </w:pPr>
                  <w:r>
                    <w:rPr>
                      <w:rFonts w:hint="eastAsia"/>
                    </w:rPr>
                    <w:t>固废/危废排放、潜在火灾、噪声、废气排放</w:t>
                  </w:r>
                </w:p>
              </w:tc>
              <w:tc>
                <w:tcPr>
                  <w:tcW w:w="2332" w:type="dxa"/>
                </w:tcPr>
                <w:p>
                  <w:pPr>
                    <w:shd w:val="clear" w:color="auto" w:fill="EBF1DE" w:themeFill="accent3" w:themeFillTint="32"/>
                    <w:rPr>
                      <w:rFonts w:hint="eastAsia" w:eastAsia="宋体"/>
                      <w:lang w:eastAsia="zh-CN"/>
                    </w:rPr>
                  </w:pPr>
                  <w:r>
                    <w:rPr>
                      <w:rFonts w:hint="eastAsia"/>
                      <w:lang w:eastAsia="zh-CN"/>
                    </w:rPr>
                    <w:t>运行控制、应急管理</w:t>
                  </w:r>
                </w:p>
              </w:tc>
              <w:tc>
                <w:tcPr>
                  <w:tcW w:w="1506"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4" w:type="dxa"/>
                </w:tcPr>
                <w:p>
                  <w:pPr>
                    <w:shd w:val="clear" w:color="auto" w:fill="EBF1DE" w:themeFill="accent3" w:themeFillTint="32"/>
                  </w:pPr>
                </w:p>
              </w:tc>
              <w:tc>
                <w:tcPr>
                  <w:tcW w:w="2332" w:type="dxa"/>
                </w:tcPr>
                <w:p>
                  <w:pPr>
                    <w:shd w:val="clear" w:color="auto" w:fill="EBF1DE" w:themeFill="accent3" w:themeFillTint="32"/>
                  </w:pPr>
                </w:p>
              </w:tc>
              <w:tc>
                <w:tcPr>
                  <w:tcW w:w="1506"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4" w:type="dxa"/>
                </w:tcPr>
                <w:p>
                  <w:pPr>
                    <w:shd w:val="clear" w:color="auto" w:fill="EBF1DE" w:themeFill="accent3" w:themeFillTint="32"/>
                  </w:pPr>
                </w:p>
              </w:tc>
              <w:tc>
                <w:tcPr>
                  <w:tcW w:w="2332" w:type="dxa"/>
                </w:tcPr>
                <w:p>
                  <w:pPr>
                    <w:shd w:val="clear" w:color="auto" w:fill="EBF1DE" w:themeFill="accent3" w:themeFillTint="32"/>
                  </w:pPr>
                </w:p>
              </w:tc>
              <w:tc>
                <w:tcPr>
                  <w:tcW w:w="1506"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4" w:type="dxa"/>
                </w:tcPr>
                <w:p>
                  <w:pPr>
                    <w:shd w:val="clear" w:color="auto" w:fill="EBF1DE" w:themeFill="accent3" w:themeFillTint="32"/>
                  </w:pPr>
                </w:p>
              </w:tc>
              <w:tc>
                <w:tcPr>
                  <w:tcW w:w="2332" w:type="dxa"/>
                </w:tcPr>
                <w:p>
                  <w:pPr>
                    <w:shd w:val="clear" w:color="auto" w:fill="EBF1DE" w:themeFill="accent3" w:themeFillTint="32"/>
                  </w:pPr>
                </w:p>
              </w:tc>
              <w:tc>
                <w:tcPr>
                  <w:tcW w:w="1506"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□环境影响报告表日期：2020 年5 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textAlignment w:val="baseline"/>
                  </w:pPr>
                  <w:r>
                    <w:rPr>
                      <w:rFonts w:hint="eastAsia" w:ascii="宋体" w:hAnsi="宋体" w:cs="Arial"/>
                      <w:color w:val="auto"/>
                      <w:spacing w:val="-6"/>
                      <w:sz w:val="21"/>
                      <w:szCs w:val="21"/>
                      <w:lang w:val="en-US" w:eastAsia="zh-CN"/>
                    </w:rPr>
                    <w:t>火灾为0</w:t>
                  </w:r>
                </w:p>
              </w:tc>
              <w:tc>
                <w:tcPr>
                  <w:tcW w:w="3136"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制造部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textAlignment w:val="baseline"/>
                  </w:pPr>
                  <w:r>
                    <w:rPr>
                      <w:rFonts w:hint="eastAsia" w:ascii="宋体" w:hAnsi="宋体" w:cs="Arial"/>
                      <w:color w:val="auto"/>
                      <w:spacing w:val="-6"/>
                      <w:sz w:val="21"/>
                      <w:szCs w:val="21"/>
                      <w:lang w:val="en-US" w:eastAsia="zh-CN"/>
                    </w:rPr>
                    <w:t>固废分类处置率100%</w:t>
                  </w:r>
                </w:p>
              </w:tc>
              <w:tc>
                <w:tcPr>
                  <w:tcW w:w="3136"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运行控制</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制造部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Arial"/>
                      <w:color w:val="auto"/>
                      <w:spacing w:val="-6"/>
                      <w:sz w:val="21"/>
                      <w:szCs w:val="21"/>
                      <w:lang w:val="en-US" w:eastAsia="zh-CN"/>
                    </w:rPr>
                    <w:t>噪声\粉尘达标排放</w:t>
                  </w:r>
                </w:p>
              </w:tc>
              <w:tc>
                <w:tcPr>
                  <w:tcW w:w="3136"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运行控制</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制造部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全自动机械卷板机、数控切割机/火焰下料机、喷涂机、电焊机</w:t>
            </w:r>
          </w:p>
          <w:p>
            <w:pPr>
              <w:shd w:val="clear" w:color="auto" w:fill="EBF1DE" w:themeFill="accent3" w:themeFillTint="32"/>
              <w:rPr>
                <w:u w:val="single"/>
              </w:rPr>
            </w:pPr>
            <w:r>
              <w:rPr>
                <w:rFonts w:hint="eastAsia"/>
              </w:rPr>
              <w:t>主要环保设备有：</w:t>
            </w:r>
            <w:r>
              <w:rPr>
                <w:rFonts w:hint="eastAsia"/>
                <w:u w:val="single"/>
              </w:rPr>
              <w:t>污水处理装置、废气处理装置、消防栓、灭火器、垃圾桶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游标卡尺、钢卷尺、塞尺</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eastAsia="zh-CN"/>
                    </w:rPr>
                    <w:t>运行控制、应急管理</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eastAsia="zh-CN"/>
              </w:rPr>
              <w:t>起重机</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A3"/>
            </w:r>
            <w:r>
              <w:rPr>
                <w:rFonts w:hint="eastAsia"/>
              </w:rPr>
              <w:t>废物回收</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于2022年5月27日进行了的演练；并总结了预案的可行性和有效性。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hAnsiTheme="minorEastAsia"/>
                <w:color w:val="auto"/>
                <w:lang w:val="en-US" w:eastAsia="zh-CN"/>
              </w:rPr>
              <w:t>2022年4月21日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CQHJ检字（2022）050061号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通过年度策划于2022年5月10-11日实施了环境管理体系内部审核，对环境管理体系的符合性和有效性进行了审核。内审发现的项不符合在本次审核前已完成整改。在公司内完成的这些审核是可信的。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最高管理者已按策划的时间间隔，在2022年5月25日对组织的环境管理体系进行了评审，以确保其持续的适宜性、充分性和有效性；管理评审输入、输出均按要求提供。并对提出的改进措施进行了落实。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 xml:space="preserve">质量至上、持续创新、诚实守信、顾客至上 </w:t>
            </w:r>
          </w:p>
          <w:p>
            <w:pPr>
              <w:rPr>
                <w:u w:val="single"/>
              </w:rPr>
            </w:pPr>
            <w:r>
              <w:rPr>
                <w:rFonts w:hint="eastAsia"/>
                <w:u w:val="single"/>
              </w:rPr>
              <w:t>预防为主，降低风险；遵章守法，减污降耗</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制造部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员工代表是——徐小文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5"/>
              <w:gridCol w:w="2222"/>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tcPr>
                <w:p>
                  <w:r>
                    <w:rPr>
                      <w:rFonts w:hint="eastAsia"/>
                    </w:rPr>
                    <w:t>主要的风险或机遇描述</w:t>
                  </w:r>
                </w:p>
              </w:tc>
              <w:tc>
                <w:tcPr>
                  <w:tcW w:w="2222" w:type="dxa"/>
                </w:tcPr>
                <w:p>
                  <w:r>
                    <w:rPr>
                      <w:rFonts w:hint="eastAsia"/>
                    </w:rPr>
                    <w:t>应对措施</w:t>
                  </w:r>
                </w:p>
              </w:tc>
              <w:tc>
                <w:tcPr>
                  <w:tcW w:w="1575"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tcPr>
                <w:p>
                  <w:r>
                    <w:rPr>
                      <w:rFonts w:hint="eastAsia"/>
                    </w:rPr>
                    <w:t>机械伤害、噪声排放、粉尘、潜在火灾、、爆炸触电伤害</w:t>
                  </w:r>
                </w:p>
              </w:tc>
              <w:tc>
                <w:tcPr>
                  <w:tcW w:w="2222" w:type="dxa"/>
                </w:tcPr>
                <w:p>
                  <w:pPr>
                    <w:rPr>
                      <w:rFonts w:hint="eastAsia" w:eastAsia="宋体"/>
                      <w:lang w:eastAsia="zh-CN"/>
                    </w:rPr>
                  </w:pPr>
                  <w:r>
                    <w:rPr>
                      <w:rFonts w:hint="eastAsia"/>
                      <w:lang w:eastAsia="zh-CN"/>
                    </w:rPr>
                    <w:t>运行控制、应急管理</w:t>
                  </w:r>
                </w:p>
              </w:tc>
              <w:tc>
                <w:tcPr>
                  <w:tcW w:w="1575"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tcPr>
                <w:p/>
              </w:tc>
              <w:tc>
                <w:tcPr>
                  <w:tcW w:w="2222" w:type="dxa"/>
                </w:tcPr>
                <w:p/>
              </w:tc>
              <w:tc>
                <w:tcPr>
                  <w:tcW w:w="1575"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□职业病体检报告书日期：2022-03-17</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258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pPr>
                    <w:rPr>
                      <w:rFonts w:ascii="宋体" w:hAnsi="宋体"/>
                    </w:rPr>
                  </w:pPr>
                  <w:r>
                    <w:rPr>
                      <w:rFonts w:hint="eastAsia"/>
                    </w:rPr>
                    <w:t>职业健康安全</w:t>
                  </w:r>
                  <w:r>
                    <w:rPr>
                      <w:rFonts w:hint="eastAsia" w:ascii="宋体" w:hAnsi="宋体"/>
                    </w:rPr>
                    <w:t>目标</w:t>
                  </w:r>
                </w:p>
              </w:tc>
              <w:tc>
                <w:tcPr>
                  <w:tcW w:w="2580"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textAlignment w:val="baseline"/>
                  </w:pPr>
                  <w:r>
                    <w:rPr>
                      <w:rFonts w:hint="eastAsia" w:ascii="宋体" w:hAnsi="宋体" w:cs="Arial"/>
                      <w:color w:val="auto"/>
                      <w:spacing w:val="-6"/>
                      <w:sz w:val="21"/>
                      <w:szCs w:val="21"/>
                      <w:lang w:val="en-US" w:eastAsia="zh-CN"/>
                    </w:rPr>
                    <w:t>火灾、触电机械伤害为0</w:t>
                  </w:r>
                </w:p>
              </w:tc>
              <w:tc>
                <w:tcPr>
                  <w:tcW w:w="2580" w:type="dxa"/>
                  <w:shd w:val="clear" w:color="auto" w:fill="auto"/>
                  <w:vAlign w:val="center"/>
                </w:tcPr>
                <w:p>
                  <w:pPr>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rPr>
                      <w:rFonts w:hint="eastAsia" w:eastAsia="宋体"/>
                      <w:lang w:val="en-GB" w:eastAsia="zh-CN"/>
                    </w:rPr>
                  </w:pPr>
                  <w:r>
                    <w:rPr>
                      <w:rFonts w:hint="eastAsia"/>
                      <w:lang w:val="en-GB" w:eastAsia="zh-CN"/>
                    </w:rPr>
                    <w:t>制造部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pPr>
                    <w:keepNext w:val="0"/>
                    <w:keepLines w:val="0"/>
                    <w:pageBreakBefore w:val="0"/>
                    <w:widowControl w:val="0"/>
                    <w:kinsoku/>
                    <w:wordWrap/>
                    <w:overflowPunct/>
                    <w:topLinePunct w:val="0"/>
                    <w:autoSpaceDE/>
                    <w:autoSpaceDN/>
                    <w:bidi w:val="0"/>
                    <w:adjustRightInd w:val="0"/>
                    <w:snapToGrid w:val="0"/>
                    <w:spacing w:line="360" w:lineRule="auto"/>
                    <w:ind w:right="105" w:rightChars="50"/>
                    <w:textAlignment w:val="baseline"/>
                  </w:pPr>
                  <w:r>
                    <w:rPr>
                      <w:rFonts w:hint="eastAsia" w:ascii="宋体" w:hAnsi="宋体" w:cs="Arial"/>
                      <w:color w:val="auto"/>
                      <w:spacing w:val="-6"/>
                      <w:sz w:val="21"/>
                      <w:szCs w:val="21"/>
                      <w:lang w:val="en-US" w:eastAsia="zh-CN"/>
                    </w:rPr>
                    <w:t>职业病发病为0</w:t>
                  </w:r>
                </w:p>
              </w:tc>
              <w:tc>
                <w:tcPr>
                  <w:tcW w:w="2580" w:type="dxa"/>
                  <w:shd w:val="clear" w:color="auto" w:fill="auto"/>
                  <w:vAlign w:val="center"/>
                </w:tcPr>
                <w:p>
                  <w:pPr>
                    <w:rPr>
                      <w:rFonts w:hint="eastAsia" w:ascii="宋体" w:hAnsi="宋体" w:eastAsia="宋体"/>
                      <w:lang w:eastAsia="zh-CN"/>
                    </w:rPr>
                  </w:pPr>
                  <w:r>
                    <w:rPr>
                      <w:rFonts w:hint="eastAsia" w:ascii="宋体" w:hAnsi="宋体"/>
                      <w:lang w:eastAsia="zh-CN"/>
                    </w:rPr>
                    <w:t>运行控制</w:t>
                  </w:r>
                </w:p>
              </w:tc>
              <w:tc>
                <w:tcPr>
                  <w:tcW w:w="1350" w:type="dxa"/>
                  <w:shd w:val="clear" w:color="auto" w:fill="auto"/>
                  <w:vAlign w:val="center"/>
                </w:tcPr>
                <w:p>
                  <w:pPr>
                    <w:rPr>
                      <w:rFonts w:ascii="宋体" w:hAnsi="宋体"/>
                    </w:rPr>
                  </w:pPr>
                  <w:r>
                    <w:rPr>
                      <w:rFonts w:hint="eastAsia"/>
                      <w:lang w:val="en-GB" w:eastAsia="zh-CN"/>
                    </w:rPr>
                    <w:t>制造部</w:t>
                  </w:r>
                </w:p>
              </w:tc>
              <w:tc>
                <w:tcPr>
                  <w:tcW w:w="1774" w:type="dxa"/>
                  <w:shd w:val="clear" w:color="auto" w:fill="auto"/>
                  <w:vAlign w:val="center"/>
                </w:tcPr>
                <w:p>
                  <w:pPr>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tc>
              <w:tc>
                <w:tcPr>
                  <w:tcW w:w="2580"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rPr>
              <w:t>全自动机械卷板机、数控切割机/火焰下料机、喷涂机、电焊机</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eastAsia="zh-CN"/>
              </w:rPr>
              <w:t>起重机</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于2022年5月27日进行了的演练；并总结了预案的可行性和有效性。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定期（每年）：2022年4月21日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《作业场所有害物质监测报告》编号：AYDS（检）字2022 第0375 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5月10-11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最高管理者已按策划的时间间隔，在2022年5月25日对组织的职业健康安全管理体系进行了评审，以确保其持续的适宜性、充分性和有效性；管理评审输入、输出均按要求提供。并对提出的改进措施进行了落实。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6A66144E"/>
    <w:rsid w:val="6AB91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18754</Words>
  <Characters>19589</Characters>
  <Lines>150</Lines>
  <Paragraphs>42</Paragraphs>
  <TotalTime>1</TotalTime>
  <ScaleCrop>false</ScaleCrop>
  <LinksUpToDate>false</LinksUpToDate>
  <CharactersWithSpaces>19710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2022-06-07T03:02:08Z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