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0005" cy="9483090"/>
            <wp:effectExtent l="0" t="0" r="10795" b="3810"/>
            <wp:docPr id="1" name="图片 1" descr="新文档 2022-06-12 15.08.2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2 15.08.28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48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9498965"/>
            <wp:effectExtent l="0" t="0" r="12065" b="635"/>
            <wp:docPr id="2" name="图片 2" descr="新文档 2022-06-12 15.08.2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6-12 15.08.28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49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38"/>
        <w:gridCol w:w="215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3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河北耀东科技有限公司</w:t>
            </w:r>
            <w:bookmarkEnd w:id="11"/>
          </w:p>
        </w:tc>
        <w:tc>
          <w:tcPr>
            <w:tcW w:w="215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3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5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48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现场审核发现，提供的外来文件清单、法律法规清单未识别DA/T 22-2015《归档文件整理规则》、中华人民共和国消防法、传染病防治法等适用的法律法律及其他要求。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76F2970"/>
    <w:rsid w:val="729F18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372</Words>
  <Characters>496</Characters>
  <Lines>6</Lines>
  <Paragraphs>1</Paragraphs>
  <TotalTime>109</TotalTime>
  <ScaleCrop>false</ScaleCrop>
  <LinksUpToDate>false</LinksUpToDate>
  <CharactersWithSpaces>694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2022-06-20T02:53:09Z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