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重庆合韵物业管理有限公司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物业管理服务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线上视频培训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6月8日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确认过程：物业管理服务过程。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主要控制参数：清洁标准、安保服务质量、服务响应及时性等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《物权法》、</w:t>
            </w: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《重庆市物业管理条例》、《物业服务收费管理办法》、《商务楼宇物业管理服务规范》、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检验项目：清洁、安保质量、</w:t>
            </w:r>
            <w:r>
              <w:rPr>
                <w:rFonts w:hint="eastAsia"/>
                <w:sz w:val="21"/>
                <w:szCs w:val="21"/>
              </w:rPr>
              <w:t>服务及时性、。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76C309D"/>
    <w:rsid w:val="68507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155</Words>
  <Characters>161</Characters>
  <Lines>2</Lines>
  <Paragraphs>1</Paragraphs>
  <TotalTime>1</TotalTime>
  <ScaleCrop>false</ScaleCrop>
  <LinksUpToDate>false</LinksUpToDate>
  <CharactersWithSpaces>162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2022-06-08T08:20:15Z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