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江西青桔信息科技有限公司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QEO：</w:t>
            </w:r>
            <w:r>
              <w:rPr>
                <w:sz w:val="20"/>
              </w:rPr>
              <w:t>34.01.01;34.01.02;35.07.00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QEO：</w:t>
            </w:r>
            <w:r>
              <w:rPr>
                <w:sz w:val="20"/>
              </w:rPr>
              <w:t>34.01.01;34.01.02;35.07.00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招标→工作实施方案→外业数据采集→成图→项目自检→公司抽检→甲方验收→成果提交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制定作业规程、程序文件、作业指导书，执行GB 50026-2007《工程测量规范》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GB/T50353-2013《建筑工程建筑面积计算规范》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CJJ/T8-2011《城市测量规范》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CH/T2009-2010《全球定位系统实时动态测量（RTK）技术规范》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GB/T20257.1-2007《国家基本比例尺地形图图式第一部分：1：5001：10001：2000地形图图式》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《吉安市建设工程规划管理技术规定（试行）》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《吉安市工程建设项目“多测合一”技术规程》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提供受过培训的人员、必要的测绘设备和工具、必要的检测设备、必要的办公和储存场所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 50026-2007《工程测量规范》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GB/T50353-2013《建筑工程建筑面积计算规范》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CJJ/T8-2011《城市测量规范》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CH/T2009-2010《全球定位系统实时动态测量（RTK）技术规范》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GB/T20257.1-2007《国家基本比例尺地形图图式第一部分：1：5001：10001：2000地形图图式》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《吉安市建设工程规划管理技术规定（试行）》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《吉安市工程建设项目“多测合一”技术规程》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江西青桔信息科技有限公司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QEO：</w:t>
            </w:r>
            <w:r>
              <w:rPr>
                <w:sz w:val="20"/>
              </w:rPr>
              <w:t>34.01.01;34.01.02;35.07.00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QEO：</w:t>
            </w:r>
            <w:r>
              <w:rPr>
                <w:sz w:val="20"/>
              </w:rPr>
              <w:t>34.01.01;34.01.02;35.07.00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招标→工作实施方案→外业数据采集→成图→项目自检→公司抽检→甲方验收→成果提交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查编制有《</w:t>
            </w:r>
            <w:r>
              <w:rPr>
                <w:rFonts w:hint="eastAsia"/>
                <w:sz w:val="21"/>
                <w:szCs w:val="21"/>
              </w:rPr>
              <w:t>环境与职业健康安全运行控制程序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》（</w:t>
            </w:r>
            <w:r>
              <w:rPr>
                <w:rFonts w:hint="eastAsia"/>
                <w:sz w:val="21"/>
                <w:szCs w:val="21"/>
              </w:rPr>
              <w:t>QJ-CX-16-2020</w:t>
            </w:r>
            <w:r>
              <w:rPr>
                <w:rFonts w:hint="eastAsia"/>
                <w:sz w:val="21"/>
                <w:szCs w:val="21"/>
                <w:lang w:eastAsia="zh-CN"/>
              </w:rPr>
              <w:t>），</w:t>
            </w:r>
            <w:r>
              <w:rPr>
                <w:rFonts w:hint="eastAsia"/>
                <w:sz w:val="21"/>
                <w:szCs w:val="21"/>
              </w:rPr>
              <w:t>本部门应执行的运行控制文件包括：环境运行控制程序，废弃物管理规定、对相关方施加影响管理规定、节能降耗管理规定、消防安全管理制度、综合部安全管理制度、</w:t>
            </w:r>
            <w:r>
              <w:rPr>
                <w:rFonts w:hint="eastAsia"/>
                <w:sz w:val="21"/>
                <w:szCs w:val="21"/>
                <w:lang w:val="en-GB"/>
              </w:rPr>
              <w:t>车辆管理规定、电脑使用管理办法</w:t>
            </w:r>
            <w:r>
              <w:rPr>
                <w:rFonts w:hint="eastAsia"/>
                <w:sz w:val="21"/>
                <w:szCs w:val="21"/>
              </w:rPr>
              <w:t>等。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1"/>
              <w:gridCol w:w="2881"/>
              <w:gridCol w:w="30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主要环境因素</w:t>
                  </w:r>
                </w:p>
              </w:tc>
              <w:tc>
                <w:tcPr>
                  <w:tcW w:w="288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06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发生火灾</w:t>
                  </w:r>
                </w:p>
              </w:tc>
              <w:tc>
                <w:tcPr>
                  <w:tcW w:w="288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GB" w:eastAsia="zh-CN" w:bidi="ar-SA"/>
                    </w:rPr>
                  </w:pPr>
                  <w:r>
                    <w:rPr>
                      <w:rFonts w:hint="default"/>
                      <w:color w:val="000000"/>
                      <w:sz w:val="21"/>
                      <w:szCs w:val="21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sz w:val="21"/>
                      <w:szCs w:val="21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sz w:val="21"/>
                      <w:szCs w:val="21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06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加强日常消防检查，预防明火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固废的排放</w:t>
                  </w:r>
                </w:p>
              </w:tc>
              <w:tc>
                <w:tcPr>
                  <w:tcW w:w="288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sz w:val="21"/>
                      <w:szCs w:val="21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sz w:val="21"/>
                      <w:szCs w:val="21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sz w:val="21"/>
                      <w:szCs w:val="21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06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集中收集、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按照规定废品回收</w:t>
                  </w:r>
                </w:p>
              </w:tc>
            </w:tr>
          </w:tbl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pacing w:line="240" w:lineRule="auto"/>
              <w:ind w:firstLine="420" w:firstLineChars="2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《中华人民共和国水污染防治法》、《污水处理设施环境保护监督管理办法》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《中华人民共和国固体废物污染环境防治法》等法律法规。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江西青桔信息科技有限公司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QEO：</w:t>
            </w:r>
            <w:r>
              <w:rPr>
                <w:sz w:val="20"/>
              </w:rPr>
              <w:t>34.01.01;34.01.02;35.07.00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QEO：</w:t>
            </w:r>
            <w:r>
              <w:rPr>
                <w:sz w:val="20"/>
              </w:rPr>
              <w:t>34.01.01;34.01.02;35.07.00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招标→工作实施方案→外业数据采集→成图→项目自检→公司抽检→甲方验收→成果提交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查编制有《</w:t>
            </w:r>
            <w:r>
              <w:rPr>
                <w:rFonts w:hint="eastAsia"/>
                <w:sz w:val="21"/>
                <w:szCs w:val="21"/>
              </w:rPr>
              <w:t>环境与职业健康安全运行控制程序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》（</w:t>
            </w:r>
            <w:r>
              <w:rPr>
                <w:rFonts w:hint="eastAsia"/>
                <w:sz w:val="21"/>
                <w:szCs w:val="21"/>
              </w:rPr>
              <w:t>QJ-CX-16-2020</w:t>
            </w:r>
            <w:r>
              <w:rPr>
                <w:rFonts w:hint="eastAsia"/>
                <w:sz w:val="21"/>
                <w:szCs w:val="21"/>
                <w:lang w:eastAsia="zh-CN"/>
              </w:rPr>
              <w:t>），</w:t>
            </w:r>
            <w:r>
              <w:rPr>
                <w:rFonts w:hint="eastAsia"/>
                <w:sz w:val="21"/>
                <w:szCs w:val="21"/>
              </w:rPr>
              <w:t>本部门应执行的运行控制文件包括：环境运行控制程序，废弃物管理规定、对相关方施加影响管理规定、节能降耗管理规定、消防安全管理制度、综合部安全管理制度、</w:t>
            </w:r>
            <w:r>
              <w:rPr>
                <w:rFonts w:hint="eastAsia"/>
                <w:sz w:val="21"/>
                <w:szCs w:val="21"/>
                <w:lang w:val="en-GB"/>
              </w:rPr>
              <w:t>车辆管理规定、电脑使用管理办法</w:t>
            </w:r>
            <w:r>
              <w:rPr>
                <w:rFonts w:hint="eastAsia"/>
                <w:sz w:val="21"/>
                <w:szCs w:val="21"/>
              </w:rPr>
              <w:t>等。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1"/>
              <w:gridCol w:w="2881"/>
              <w:gridCol w:w="30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主要环境因素</w:t>
                  </w:r>
                </w:p>
              </w:tc>
              <w:tc>
                <w:tcPr>
                  <w:tcW w:w="288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06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发生火灾</w:t>
                  </w:r>
                </w:p>
              </w:tc>
              <w:tc>
                <w:tcPr>
                  <w:tcW w:w="288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GB" w:eastAsia="zh-CN" w:bidi="ar-SA"/>
                    </w:rPr>
                  </w:pPr>
                  <w:r>
                    <w:rPr>
                      <w:rFonts w:hint="default"/>
                      <w:color w:val="000000"/>
                      <w:sz w:val="21"/>
                      <w:szCs w:val="21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sz w:val="21"/>
                      <w:szCs w:val="21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sz w:val="21"/>
                      <w:szCs w:val="21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06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加强日常消防检查，预防明火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固废的排放</w:t>
                  </w:r>
                </w:p>
              </w:tc>
              <w:tc>
                <w:tcPr>
                  <w:tcW w:w="288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sz w:val="21"/>
                      <w:szCs w:val="21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sz w:val="21"/>
                      <w:szCs w:val="21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sz w:val="21"/>
                      <w:szCs w:val="21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06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集中收集、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按照规定废品回收</w:t>
                  </w:r>
                </w:p>
              </w:tc>
            </w:tr>
          </w:tbl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中华人民共和国消防法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中华人民共和国职业病防治法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安全标志及其使用导则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中华人民共和国道路交通安全法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、江西省</w:t>
            </w:r>
            <w:r>
              <w:rPr>
                <w:rFonts w:hint="eastAsia"/>
                <w:color w:val="000000"/>
                <w:sz w:val="22"/>
                <w:szCs w:val="22"/>
              </w:rPr>
              <w:t>消防条例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color w:val="000000"/>
                <w:sz w:val="22"/>
                <w:szCs w:val="22"/>
              </w:rPr>
              <w:t>《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江西省</w:t>
            </w:r>
            <w:r>
              <w:rPr>
                <w:color w:val="000000"/>
                <w:sz w:val="22"/>
                <w:szCs w:val="22"/>
              </w:rPr>
              <w:t>安全生产条例》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等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761A72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2022-06-04T15:10:07Z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