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0717-2022-Q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重庆合韵物业管理有限公司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2022年06月08日 上午至2022年06月08日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重庆市渝北区龙溪街道新牌坊一路136号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重庆合韵物业管理有限公司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重庆市渝中区临江支路30号9-12号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400010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重庆市渝北区龙溪街道新牌坊一路136号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401147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杨佐锡</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023-63139705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吴娅萌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杨佐锡</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物业管理服务</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szCs w:val="21"/>
              </w:rPr>
              <w:t>签订合同——确定物业管理服务区域——安排物业管理服务人员——分配物业管理区域——进行物业管理服务</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物业管理服务</w:t>
            </w:r>
          </w:p>
        </w:tc>
        <w:tc>
          <w:tcPr>
            <w:tcW w:w="2006" w:type="dxa"/>
            <w:gridSpan w:val="3"/>
            <w:vAlign w:val="center"/>
          </w:tcPr>
          <w:p>
            <w:pPr>
              <w:spacing w:line="400" w:lineRule="exact"/>
              <w:rPr>
                <w:rFonts w:ascii="宋体" w:hAnsi="宋体"/>
                <w:b/>
                <w:color w:val="000000"/>
                <w:szCs w:val="21"/>
              </w:rPr>
            </w:pPr>
            <w:bookmarkStart w:id="36" w:name="专业代码"/>
            <w:r>
              <w:t>35.15.00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96"/>
        <w:gridCol w:w="13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09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7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sz w:val="21"/>
                <w:szCs w:val="21"/>
              </w:rPr>
              <w:t>重庆合韵物业管理有限公司</w:t>
            </w:r>
            <w:r>
              <w:rPr>
                <w:rFonts w:hint="eastAsia" w:ascii="宋体" w:hAnsi="宋体" w:cs="宋体"/>
                <w:color w:val="000000"/>
                <w:kern w:val="0"/>
                <w:szCs w:val="21"/>
                <w:lang w:val="en-US" w:eastAsia="zh-CN"/>
              </w:rPr>
              <w:t>/</w:t>
            </w:r>
            <w:r>
              <w:rPr>
                <w:sz w:val="21"/>
                <w:szCs w:val="21"/>
              </w:rPr>
              <w:t>重庆市渝中区临江支路30号9-12号</w:t>
            </w:r>
          </w:p>
        </w:tc>
        <w:tc>
          <w:tcPr>
            <w:tcW w:w="2267" w:type="dxa"/>
            <w:vAlign w:val="top"/>
          </w:tcPr>
          <w:p>
            <w:pPr>
              <w:spacing w:before="40" w:after="40"/>
              <w:rPr>
                <w:rFonts w:eastAsia="黑体"/>
                <w:szCs w:val="21"/>
                <w:lang w:val="de-DE" w:eastAsia="ja-JP"/>
              </w:rPr>
            </w:pPr>
            <w:r>
              <w:rPr>
                <w:sz w:val="21"/>
                <w:szCs w:val="21"/>
              </w:rPr>
              <w:t>重庆市渝北区龙溪街道新牌坊一路136号</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45</w:t>
            </w:r>
          </w:p>
        </w:tc>
        <w:tc>
          <w:tcPr>
            <w:tcW w:w="2096" w:type="dxa"/>
            <w:vAlign w:val="center"/>
          </w:tcPr>
          <w:p>
            <w:pPr>
              <w:pStyle w:val="20"/>
              <w:rPr>
                <w:rFonts w:eastAsia="黑体" w:cs="Arial"/>
                <w:sz w:val="21"/>
                <w:szCs w:val="21"/>
                <w:lang w:val="en-US" w:eastAsia="ja-JP"/>
              </w:rPr>
            </w:pPr>
            <w:r>
              <w:t>物业管理服务</w:t>
            </w:r>
          </w:p>
        </w:tc>
        <w:tc>
          <w:tcPr>
            <w:tcW w:w="1376" w:type="dxa"/>
            <w:vAlign w:val="center"/>
          </w:tcPr>
          <w:p>
            <w:pPr>
              <w:spacing w:before="40" w:after="40"/>
              <w:rPr>
                <w:rFonts w:eastAsia="黑体"/>
                <w:szCs w:val="21"/>
                <w:lang w:eastAsia="ja-JP"/>
              </w:rPr>
            </w:pPr>
            <w:r>
              <w:rPr>
                <w:rFonts w:hint="eastAsia" w:ascii="宋体" w:hAnsi="宋体"/>
                <w:b/>
                <w:sz w:val="21"/>
                <w:szCs w:val="21"/>
              </w:rPr>
              <w:t>GB/T19001-2016/ISO 9001:2015</w:t>
            </w:r>
          </w:p>
        </w:tc>
        <w:tc>
          <w:tcPr>
            <w:tcW w:w="668" w:type="dxa"/>
            <w:shd w:val="clear" w:color="auto" w:fill="FFFFFF"/>
            <w:vAlign w:val="top"/>
          </w:tcPr>
          <w:p>
            <w:pPr>
              <w:rPr>
                <w:rFonts w:eastAsia="黑体"/>
                <w:szCs w:val="21"/>
              </w:rPr>
            </w:pPr>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137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137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137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137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2020年11</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w:t>
            </w:r>
            <w:r>
              <w:rPr>
                <w:rFonts w:hint="eastAsia"/>
                <w:color w:val="000000"/>
                <w:szCs w:val="18"/>
                <w:u w:val="single"/>
                <w:lang w:val="en-US" w:eastAsia="zh-CN"/>
              </w:rPr>
              <w:t>2</w:t>
            </w:r>
            <w:r>
              <w:rPr>
                <w:color w:val="000000"/>
                <w:szCs w:val="18"/>
                <w:u w:val="single"/>
              </w:rPr>
              <w:t xml:space="preserve"> </w:t>
            </w:r>
            <w:r>
              <w:rPr>
                <w:rFonts w:hint="eastAsia"/>
                <w:color w:val="000000"/>
                <w:szCs w:val="18"/>
                <w:u w:val="single"/>
                <w:lang w:val="en-US" w:eastAsia="zh-CN"/>
              </w:rPr>
              <w:t>年2</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lang w:val="en-US" w:eastAsia="zh-CN"/>
              </w:rPr>
              <w:t>10</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2022年2月20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有临时场所1个，与公司本部在同一位置。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6</w:t>
            </w:r>
            <w:r>
              <w:rPr>
                <w:rFonts w:hint="eastAsia" w:ascii="宋体"/>
                <w:b/>
                <w:color w:val="000000"/>
                <w:szCs w:val="21"/>
                <w:u w:val="single"/>
              </w:rPr>
              <w:t>-</w:t>
            </w:r>
            <w:bookmarkEnd w:id="37"/>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物业管理服务</w:t>
            </w:r>
          </w:p>
        </w:tc>
        <w:tc>
          <w:tcPr>
            <w:tcW w:w="1541" w:type="dxa"/>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1750695</wp:posOffset>
            </wp:positionH>
            <wp:positionV relativeFrom="paragraph">
              <wp:posOffset>313055</wp:posOffset>
            </wp:positionV>
            <wp:extent cx="815340" cy="403860"/>
            <wp:effectExtent l="0" t="0" r="7620" b="762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重庆合韵物业管理有限公司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bookmarkStart w:id="38" w:name="_GoBack"/>
            <w:r>
              <w:rPr>
                <w:rFonts w:hint="eastAsia" w:asciiTheme="minorEastAsia" w:hAnsiTheme="minorEastAsia" w:eastAsiaTheme="minorEastAsia"/>
                <w:sz w:val="21"/>
                <w:szCs w:val="21"/>
                <w:highlight w:val="none"/>
                <w:u w:val="none"/>
              </w:rPr>
              <w:t>未提供</w:t>
            </w:r>
            <w:r>
              <w:rPr>
                <w:rFonts w:hint="eastAsia" w:cs="Times New Roman" w:asciiTheme="minorEastAsia" w:hAnsiTheme="minorEastAsia" w:eastAsiaTheme="minorEastAsia"/>
                <w:color w:val="000000"/>
                <w:sz w:val="21"/>
                <w:szCs w:val="21"/>
                <w:highlight w:val="none"/>
                <w:u w:val="none"/>
                <w:lang w:val="en-US" w:eastAsia="zh-CN"/>
              </w:rPr>
              <w:t>万用表（型号/出厂编号：MF-47/无）</w:t>
            </w:r>
            <w:r>
              <w:rPr>
                <w:rFonts w:hint="eastAsia" w:cs="Times New Roman" w:asciiTheme="minorEastAsia" w:hAnsiTheme="minorEastAsia" w:eastAsiaTheme="minorEastAsia"/>
                <w:color w:val="000000"/>
                <w:sz w:val="21"/>
                <w:szCs w:val="21"/>
                <w:highlight w:val="none"/>
                <w:u w:val="none"/>
                <w:lang w:eastAsia="zh-CN"/>
              </w:rPr>
              <w:t>，</w:t>
            </w:r>
            <w:r>
              <w:rPr>
                <w:rFonts w:hint="eastAsia" w:cs="Times New Roman" w:asciiTheme="minorEastAsia" w:hAnsiTheme="minorEastAsia" w:eastAsiaTheme="minorEastAsia"/>
                <w:color w:val="000000"/>
                <w:sz w:val="21"/>
                <w:szCs w:val="21"/>
                <w:highlight w:val="none"/>
                <w:u w:val="none"/>
                <w:lang w:val="en-US" w:eastAsia="zh-CN"/>
              </w:rPr>
              <w:t>钳形表（型号/出厂编号：266/0976972）的</w:t>
            </w:r>
            <w:r>
              <w:rPr>
                <w:rFonts w:hint="eastAsia" w:asciiTheme="minorEastAsia" w:hAnsiTheme="minorEastAsia" w:eastAsiaTheme="minorEastAsia"/>
                <w:sz w:val="21"/>
                <w:szCs w:val="21"/>
                <w:highlight w:val="none"/>
                <w:u w:val="none"/>
              </w:rPr>
              <w:t>有效校准或检定证书</w:t>
            </w:r>
            <w:r>
              <w:rPr>
                <w:rFonts w:hint="eastAsia" w:asciiTheme="minorEastAsia" w:hAnsiTheme="minorEastAsia" w:eastAsiaTheme="minorEastAsia"/>
                <w:sz w:val="21"/>
                <w:szCs w:val="21"/>
                <w:highlight w:val="none"/>
                <w:u w:val="none"/>
                <w:lang w:eastAsia="zh-CN"/>
              </w:rPr>
              <w:t>。</w:t>
            </w:r>
            <w:bookmarkEnd w:id="38"/>
          </w:p>
        </w:tc>
        <w:tc>
          <w:tcPr>
            <w:tcW w:w="922" w:type="dxa"/>
            <w:vAlign w:val="center"/>
          </w:tcPr>
          <w:p>
            <w:pPr>
              <w:pStyle w:val="7"/>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GB/T19001-2016</w:t>
            </w:r>
          </w:p>
        </w:tc>
        <w:tc>
          <w:tcPr>
            <w:tcW w:w="1133" w:type="dxa"/>
            <w:vAlign w:val="center"/>
          </w:tcPr>
          <w:p>
            <w:pPr>
              <w:pStyle w:val="7"/>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7.1.5</w:t>
            </w:r>
          </w:p>
        </w:tc>
        <w:tc>
          <w:tcPr>
            <w:tcW w:w="934" w:type="dxa"/>
            <w:vAlign w:val="center"/>
          </w:tcPr>
          <w:p>
            <w:pPr>
              <w:pStyle w:val="7"/>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ascii="方正仿宋简体" w:eastAsia="方正仿宋简体"/>
                <w:szCs w:val="21"/>
              </w:rPr>
              <w:drawing>
                <wp:anchor distT="0" distB="0" distL="114300" distR="114300" simplePos="0" relativeHeight="251663360" behindDoc="0" locked="0" layoutInCell="1" allowOverlap="1">
                  <wp:simplePos x="0" y="0"/>
                  <wp:positionH relativeFrom="column">
                    <wp:posOffset>795020</wp:posOffset>
                  </wp:positionH>
                  <wp:positionV relativeFrom="paragraph">
                    <wp:posOffset>34925</wp:posOffset>
                  </wp:positionV>
                  <wp:extent cx="812165" cy="396875"/>
                  <wp:effectExtent l="0" t="0" r="10795" b="14605"/>
                  <wp:wrapNone/>
                  <wp:docPr id="5" name="图片 5"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1"/>
                          <pic:cNvPicPr>
                            <a:picLocks noChangeAspect="1"/>
                          </pic:cNvPicPr>
                        </pic:nvPicPr>
                        <pic:blipFill>
                          <a:blip r:embed="rId7"/>
                          <a:stretch>
                            <a:fillRect/>
                          </a:stretch>
                        </pic:blipFill>
                        <pic:spPr>
                          <a:xfrm>
                            <a:off x="0" y="0"/>
                            <a:ext cx="812165" cy="39687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u w:val="none"/>
                <w:lang w:val="en-GB" w:eastAsia="zh-CN"/>
              </w:rPr>
              <w:t>2022年</w:t>
            </w:r>
            <w:r>
              <w:rPr>
                <w:rFonts w:hint="eastAsia"/>
                <w:u w:val="none"/>
                <w:lang w:val="en-US" w:eastAsia="zh-CN"/>
              </w:rPr>
              <w:t>6</w:t>
            </w:r>
            <w:r>
              <w:rPr>
                <w:rFonts w:hint="eastAsia"/>
                <w:u w:val="none"/>
                <w:lang w:val="en-GB" w:eastAsia="zh-CN"/>
              </w:rPr>
              <w:t>月</w:t>
            </w:r>
            <w:r>
              <w:rPr>
                <w:rFonts w:hint="eastAsia"/>
                <w:u w:val="none"/>
                <w:lang w:val="en-US" w:eastAsia="zh-CN"/>
              </w:rPr>
              <w:t>8</w:t>
            </w:r>
            <w:r>
              <w:rPr>
                <w:rFonts w:hint="eastAsia"/>
                <w:u w:val="none"/>
                <w:lang w:val="en-GB" w:eastAsia="zh-CN"/>
              </w:rPr>
              <w:t>日</w:t>
            </w:r>
          </w:p>
        </w:tc>
        <w:tc>
          <w:tcPr>
            <w:tcW w:w="5392" w:type="dxa"/>
            <w:gridSpan w:val="4"/>
            <w:vAlign w:val="top"/>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sz w:val="21"/>
                <w:szCs w:val="21"/>
              </w:rPr>
              <w:t>杨佐锡</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u w:val="none"/>
                <w:lang w:val="en-GB" w:eastAsia="zh-CN"/>
              </w:rPr>
              <w:t>2022年</w:t>
            </w:r>
            <w:r>
              <w:rPr>
                <w:rFonts w:hint="eastAsia"/>
                <w:u w:val="none"/>
                <w:lang w:val="en-US" w:eastAsia="zh-CN"/>
              </w:rPr>
              <w:t>6</w:t>
            </w:r>
            <w:r>
              <w:rPr>
                <w:rFonts w:hint="eastAsia"/>
                <w:u w:val="none"/>
                <w:lang w:val="en-GB" w:eastAsia="zh-CN"/>
              </w:rPr>
              <w:t>月</w:t>
            </w:r>
            <w:r>
              <w:rPr>
                <w:rFonts w:hint="eastAsia"/>
                <w:u w:val="none"/>
                <w:lang w:val="en-US" w:eastAsia="zh-CN"/>
              </w:rPr>
              <w:t>8</w:t>
            </w:r>
            <w:r>
              <w:rPr>
                <w:rFonts w:hint="eastAsia"/>
                <w:u w:val="none"/>
                <w:lang w:val="en-GB"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highlight w:val="none"/>
              </w:rPr>
            </w:pPr>
            <w:r>
              <w:rPr>
                <w:rFonts w:hint="eastAsia" w:ascii="宋体" w:hAnsi="宋体"/>
                <w:b/>
                <w:bCs/>
                <w:color w:val="000000"/>
                <w:spacing w:val="-8"/>
                <w:szCs w:val="21"/>
                <w:highlight w:val="none"/>
              </w:rPr>
              <w:t>对</w:t>
            </w:r>
            <w:r>
              <w:rPr>
                <w:rFonts w:hint="eastAsia"/>
                <w:b/>
                <w:color w:val="000000"/>
                <w:spacing w:val="-12"/>
                <w:szCs w:val="21"/>
                <w:highlight w:val="none"/>
              </w:rPr>
              <w:t>一阶段现场审核严重</w:t>
            </w:r>
            <w:r>
              <w:rPr>
                <w:rFonts w:hint="eastAsia" w:ascii="宋体" w:hAnsi="宋体"/>
                <w:b/>
                <w:bCs/>
                <w:color w:val="000000"/>
                <w:spacing w:val="-8"/>
                <w:szCs w:val="21"/>
                <w:highlight w:val="none"/>
              </w:rPr>
              <w:t>问题整改结果的验证结论：</w:t>
            </w:r>
          </w:p>
          <w:p>
            <w:pPr>
              <w:spacing w:line="36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ascii="宋体" w:hAnsi="宋体" w:eastAsia="宋体" w:cs="宋体"/>
                <w:b/>
                <w:color w:val="000000"/>
                <w:spacing w:val="-10"/>
                <w:szCs w:val="21"/>
                <w:highlight w:val="none"/>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Cs w:val="21"/>
                <w:highlight w:val="none"/>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0128" w:type="dxa"/>
            <w:gridSpan w:val="6"/>
            <w:vAlign w:val="top"/>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r>
              <w:rPr>
                <w:rFonts w:ascii="方正仿宋简体" w:eastAsia="方正仿宋简体"/>
                <w:szCs w:val="21"/>
              </w:rPr>
              <w:drawing>
                <wp:anchor distT="0" distB="0" distL="114300" distR="114300" simplePos="0" relativeHeight="251664384" behindDoc="0" locked="0" layoutInCell="1" allowOverlap="1">
                  <wp:simplePos x="0" y="0"/>
                  <wp:positionH relativeFrom="column">
                    <wp:posOffset>521970</wp:posOffset>
                  </wp:positionH>
                  <wp:positionV relativeFrom="paragraph">
                    <wp:posOffset>224155</wp:posOffset>
                  </wp:positionV>
                  <wp:extent cx="812165" cy="396875"/>
                  <wp:effectExtent l="0" t="0" r="10795" b="14605"/>
                  <wp:wrapNone/>
                  <wp:docPr id="6"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1"/>
                          <pic:cNvPicPr>
                            <a:picLocks noChangeAspect="1"/>
                          </pic:cNvPicPr>
                        </pic:nvPicPr>
                        <pic:blipFill>
                          <a:blip r:embed="rId7"/>
                          <a:stretch>
                            <a:fillRect/>
                          </a:stretch>
                        </pic:blipFill>
                        <pic:spPr>
                          <a:xfrm>
                            <a:off x="0" y="0"/>
                            <a:ext cx="812165" cy="396875"/>
                          </a:xfrm>
                          <a:prstGeom prst="rect">
                            <a:avLst/>
                          </a:prstGeom>
                          <a:noFill/>
                          <a:ln>
                            <a:noFill/>
                          </a:ln>
                        </pic:spPr>
                      </pic:pic>
                    </a:graphicData>
                  </a:graphic>
                </wp:anchor>
              </w:drawing>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u w:val="none"/>
                <w:lang w:val="en-GB" w:eastAsia="zh-CN"/>
              </w:rPr>
              <w:t>2022年</w:t>
            </w:r>
            <w:r>
              <w:rPr>
                <w:rFonts w:hint="eastAsia"/>
                <w:u w:val="none"/>
                <w:lang w:val="en-US" w:eastAsia="zh-CN"/>
              </w:rPr>
              <w:t>6</w:t>
            </w:r>
            <w:r>
              <w:rPr>
                <w:rFonts w:hint="eastAsia"/>
                <w:u w:val="none"/>
                <w:lang w:val="en-GB" w:eastAsia="zh-CN"/>
              </w:rPr>
              <w:t>月</w:t>
            </w:r>
            <w:r>
              <w:rPr>
                <w:rFonts w:hint="eastAsia"/>
                <w:u w:val="none"/>
                <w:lang w:val="en-US" w:eastAsia="zh-CN"/>
              </w:rPr>
              <w:t>8</w:t>
            </w:r>
            <w:r>
              <w:rPr>
                <w:rFonts w:hint="eastAsia"/>
                <w:u w:val="none"/>
                <w:lang w:val="en-GB"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0BB5FB3"/>
    <w:rsid w:val="0BB24DEC"/>
    <w:rsid w:val="1D133706"/>
    <w:rsid w:val="49A05602"/>
    <w:rsid w:val="6C613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7560</Words>
  <Characters>8214</Characters>
  <Lines>67</Lines>
  <Paragraphs>18</Paragraphs>
  <TotalTime>3</TotalTime>
  <ScaleCrop>false</ScaleCrop>
  <LinksUpToDate>false</LinksUpToDate>
  <CharactersWithSpaces>8279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2022-06-08T08:07:35Z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