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1141"/>
        <w:gridCol w:w="986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41"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6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lang w:val="en-US" w:eastAsia="zh-CN"/>
              </w:rPr>
              <w:t xml:space="preserve">苏立峰  </w:t>
            </w:r>
            <w:r>
              <w:rPr>
                <w:rFonts w:hint="eastAsia"/>
                <w:sz w:val="24"/>
                <w:szCs w:val="24"/>
              </w:rPr>
              <w:t>杨叶静</w:t>
            </w:r>
            <w:bookmarkEnd w:id="0"/>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郭平双</w:t>
            </w:r>
          </w:p>
        </w:tc>
        <w:tc>
          <w:tcPr>
            <w:tcW w:w="13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24" w:type="dxa"/>
            <w:vMerge w:val="continue"/>
            <w:vAlign w:val="center"/>
          </w:tcPr>
          <w:p/>
        </w:tc>
        <w:tc>
          <w:tcPr>
            <w:tcW w:w="1141" w:type="dxa"/>
            <w:vMerge w:val="continue"/>
            <w:vAlign w:val="center"/>
          </w:tcPr>
          <w:p/>
        </w:tc>
        <w:tc>
          <w:tcPr>
            <w:tcW w:w="986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w:t>
            </w:r>
            <w:r>
              <w:rPr>
                <w:rFonts w:hint="eastAsia"/>
                <w:sz w:val="24"/>
                <w:szCs w:val="24"/>
              </w:rPr>
              <w:t>审核时间：</w:t>
            </w:r>
            <w:bookmarkStart w:id="1" w:name="审核日期"/>
            <w:r>
              <w:t>2022年06月09日</w:t>
            </w:r>
            <w:bookmarkEnd w:id="1"/>
            <w:r>
              <w:rPr>
                <w:rFonts w:hint="eastAsia"/>
                <w:lang w:val="en-US" w:eastAsia="zh-CN"/>
              </w:rPr>
              <w:t>至10日</w:t>
            </w:r>
          </w:p>
        </w:tc>
        <w:tc>
          <w:tcPr>
            <w:tcW w:w="13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24" w:type="dxa"/>
            <w:vMerge w:val="continue"/>
            <w:vAlign w:val="center"/>
          </w:tcPr>
          <w:p/>
        </w:tc>
        <w:tc>
          <w:tcPr>
            <w:tcW w:w="1141" w:type="dxa"/>
            <w:vMerge w:val="continue"/>
            <w:vAlign w:val="center"/>
          </w:tcPr>
          <w:p/>
        </w:tc>
        <w:tc>
          <w:tcPr>
            <w:tcW w:w="9867" w:type="dxa"/>
            <w:vAlign w:val="center"/>
          </w:tcPr>
          <w:p>
            <w:pPr>
              <w:spacing w:line="300" w:lineRule="exact"/>
              <w:rPr>
                <w:sz w:val="24"/>
                <w:szCs w:val="24"/>
              </w:rPr>
            </w:pPr>
            <w:r>
              <w:rPr>
                <w:rFonts w:hint="eastAsia"/>
                <w:sz w:val="24"/>
                <w:szCs w:val="24"/>
              </w:rPr>
              <w:t>审核条款：</w:t>
            </w:r>
            <w:r>
              <w:rPr>
                <w:rFonts w:hint="default" w:ascii="Times New Roman" w:hAnsi="Times New Roman" w:cs="Times New Roman"/>
                <w:sz w:val="21"/>
                <w:szCs w:val="21"/>
                <w:lang w:val="en-US" w:eastAsia="zh-CN"/>
              </w:rPr>
              <w:t>QEO4.1/4.2/4.3/4.4/5.1/5.2/5.3/6.1/6.2/7.</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9.1.1/</w:t>
            </w:r>
            <w:r>
              <w:rPr>
                <w:rFonts w:hint="default" w:ascii="Times New Roman" w:hAnsi="Times New Roman" w:cs="Times New Roman"/>
                <w:sz w:val="21"/>
                <w:szCs w:val="21"/>
                <w:lang w:val="en-US" w:eastAsia="zh-CN"/>
              </w:rPr>
              <w:t>9.3/10.1/10.3</w:t>
            </w:r>
            <w:r>
              <w:rPr>
                <w:rFonts w:hint="eastAsia" w:ascii="Times New Roman" w:hAnsi="Times New Roman" w:cs="Times New Roman"/>
                <w:sz w:val="21"/>
                <w:szCs w:val="21"/>
                <w:lang w:val="en-US" w:eastAsia="zh-CN"/>
              </w:rPr>
              <w:t>；Q6.3；O5.4/8.1.3</w:t>
            </w:r>
          </w:p>
        </w:tc>
        <w:tc>
          <w:tcPr>
            <w:tcW w:w="13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24" w:type="dxa"/>
          </w:tcPr>
          <w:p>
            <w:r>
              <w:rPr>
                <w:rFonts w:hint="default" w:ascii="Times New Roman" w:hAnsi="Times New Roman" w:eastAsia="宋体" w:cs="Times New Roman"/>
                <w:b w:val="0"/>
                <w:bCs/>
                <w:sz w:val="21"/>
                <w:szCs w:val="21"/>
              </w:rPr>
              <w:t>组织及其环境</w:t>
            </w:r>
          </w:p>
        </w:tc>
        <w:tc>
          <w:tcPr>
            <w:tcW w:w="1141" w:type="dxa"/>
          </w:tcPr>
          <w:p>
            <w:pPr>
              <w:rPr>
                <w:rFonts w:hint="default" w:eastAsia="宋体"/>
                <w:lang w:val="en-US" w:eastAsia="zh-CN"/>
              </w:rPr>
            </w:pPr>
            <w:r>
              <w:rPr>
                <w:rFonts w:hint="eastAsia"/>
                <w:lang w:val="en-US" w:eastAsia="zh-CN"/>
              </w:rPr>
              <w:t>QEO4.1</w:t>
            </w:r>
          </w:p>
        </w:tc>
        <w:tc>
          <w:tcPr>
            <w:tcW w:w="9867" w:type="dxa"/>
            <w:vAlign w:val="center"/>
          </w:tcPr>
          <w:p>
            <w:pPr>
              <w:rPr>
                <w:rFonts w:hint="eastAsia"/>
              </w:rPr>
            </w:pPr>
            <w:r>
              <w:rPr>
                <w:rFonts w:hint="eastAsia"/>
              </w:rPr>
              <w:t>总经理</w:t>
            </w:r>
            <w:r>
              <w:rPr>
                <w:rFonts w:hint="eastAsia"/>
                <w:lang w:val="en-US" w:eastAsia="zh-CN"/>
              </w:rPr>
              <w:t>苏立峰</w:t>
            </w:r>
            <w:r>
              <w:rPr>
                <w:rFonts w:hint="eastAsia"/>
              </w:rPr>
              <w:t>介绍：</w:t>
            </w:r>
          </w:p>
          <w:p>
            <w:pPr>
              <w:rPr>
                <w:rFonts w:hint="eastAsia"/>
              </w:rPr>
            </w:pPr>
            <w:r>
              <w:rPr>
                <w:rFonts w:hint="eastAsia"/>
                <w:lang w:val="en-US" w:eastAsia="zh-CN"/>
              </w:rPr>
              <w:t>为了</w:t>
            </w:r>
            <w:r>
              <w:rPr>
                <w:rFonts w:hint="eastAsia"/>
              </w:rPr>
              <w:t>提高公司市场准入</w:t>
            </w:r>
            <w:r>
              <w:rPr>
                <w:rFonts w:hint="eastAsia"/>
                <w:lang w:val="en-US" w:eastAsia="zh-CN"/>
              </w:rPr>
              <w:t>门槛和提高公司管理水平，</w:t>
            </w:r>
            <w:r>
              <w:rPr>
                <w:rFonts w:hint="eastAsia"/>
              </w:rPr>
              <w:t>公司推行管理体系</w:t>
            </w:r>
            <w:r>
              <w:rPr>
                <w:rFonts w:hint="eastAsia"/>
                <w:lang w:val="en-US" w:eastAsia="zh-CN"/>
              </w:rPr>
              <w:t>的建设和实施</w:t>
            </w:r>
            <w:r>
              <w:rPr>
                <w:rFonts w:hint="eastAsia"/>
              </w:rPr>
              <w:t>。</w:t>
            </w:r>
          </w:p>
          <w:p>
            <w:pPr>
              <w:rPr>
                <w:rFonts w:hint="eastAsia"/>
              </w:rPr>
            </w:pPr>
            <w:r>
              <w:rPr>
                <w:rFonts w:hint="eastAsia"/>
                <w:lang w:val="en-US" w:eastAsia="zh-CN"/>
              </w:rPr>
              <w:t>通过开展QEO管理体系，</w:t>
            </w:r>
            <w:r>
              <w:rPr>
                <w:rFonts w:hint="eastAsia"/>
              </w:rPr>
              <w:t>确定与本公司管理目标和战略方向相关并影响实现管理体系预期结果的各种内部因素</w:t>
            </w:r>
            <w:r>
              <w:rPr>
                <w:rFonts w:hint="eastAsia"/>
                <w:lang w:eastAsia="zh-CN"/>
              </w:rPr>
              <w:t>（</w:t>
            </w:r>
            <w:r>
              <w:rPr>
                <w:rFonts w:hint="eastAsia"/>
                <w:lang w:val="en-US" w:eastAsia="zh-CN"/>
              </w:rPr>
              <w:t>企业文化</w:t>
            </w:r>
            <w:r>
              <w:rPr>
                <w:rFonts w:hint="eastAsia"/>
                <w:lang w:eastAsia="zh-CN"/>
              </w:rPr>
              <w:t>、</w:t>
            </w:r>
            <w:r>
              <w:rPr>
                <w:rFonts w:hint="eastAsia"/>
                <w:lang w:val="en-US" w:eastAsia="zh-CN"/>
              </w:rPr>
              <w:t>价值观、知识积累、组织相关因素、人力、绩效、财务、物业服务活动、保安的素质等</w:t>
            </w:r>
            <w:r>
              <w:rPr>
                <w:rFonts w:hint="eastAsia"/>
                <w:lang w:eastAsia="zh-CN"/>
              </w:rPr>
              <w:t>）</w:t>
            </w:r>
            <w:r>
              <w:rPr>
                <w:rFonts w:hint="eastAsia"/>
              </w:rPr>
              <w:t>和外部因素（</w:t>
            </w:r>
            <w:r>
              <w:rPr>
                <w:rFonts w:hint="eastAsia"/>
                <w:lang w:val="en-US" w:eastAsia="zh-CN"/>
              </w:rPr>
              <w:t>政治因素、</w:t>
            </w:r>
            <w:r>
              <w:rPr>
                <w:rFonts w:hint="eastAsia"/>
              </w:rPr>
              <w:t>各种法律法规、技术、竞争、文化和社会因素等）。</w:t>
            </w:r>
          </w:p>
          <w:p>
            <w:pPr>
              <w:pStyle w:val="2"/>
            </w:pPr>
            <w:r>
              <w:drawing>
                <wp:inline distT="0" distB="0" distL="114300" distR="114300">
                  <wp:extent cx="5607685" cy="1409700"/>
                  <wp:effectExtent l="0" t="0" r="571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5607685" cy="1409700"/>
                          </a:xfrm>
                          <a:prstGeom prst="rect">
                            <a:avLst/>
                          </a:prstGeom>
                          <a:noFill/>
                          <a:ln>
                            <a:noFill/>
                          </a:ln>
                        </pic:spPr>
                      </pic:pic>
                    </a:graphicData>
                  </a:graphic>
                </wp:inline>
              </w:drawing>
            </w:r>
          </w:p>
          <w:p>
            <w:pPr>
              <w:pStyle w:val="2"/>
              <w:rPr>
                <w:rFonts w:hint="eastAsia"/>
              </w:rPr>
            </w:pPr>
          </w:p>
          <w:p>
            <w:pPr>
              <w:rPr>
                <w:rFonts w:hint="eastAsia"/>
              </w:rPr>
            </w:pPr>
            <w:r>
              <w:rPr>
                <w:rFonts w:hint="eastAsia"/>
              </w:rPr>
              <w:t>这些因素包括了需要考虑的正面和负面因素或条件。</w:t>
            </w:r>
          </w:p>
          <w:p>
            <w:pPr>
              <w:rPr>
                <w:rFonts w:hint="eastAsia"/>
              </w:rPr>
            </w:pPr>
            <w:r>
              <w:rPr>
                <w:rFonts w:hint="eastAsia"/>
              </w:rPr>
              <w:t>公司每年从市场、客户、网络等搜集到的信息并结合公司自身业务运作情况进行分析，通过分析对这些内部和外部因素的相关信息进行监视和评审以确保其充分和适宜。</w:t>
            </w:r>
          </w:p>
          <w:p>
            <w:pPr>
              <w:pStyle w:val="2"/>
              <w:ind w:left="0" w:leftChars="0" w:firstLine="0" w:firstLineChars="0"/>
              <w:rPr>
                <w:rFonts w:hint="default" w:eastAsia="宋体"/>
                <w:lang w:val="en-US" w:eastAsia="zh-CN"/>
              </w:rPr>
            </w:pPr>
            <w:r>
              <w:rPr>
                <w:rFonts w:hint="eastAsia" w:ascii="Times New Roman" w:hAnsi="Times New Roman" w:eastAsia="宋体" w:cs="Times New Roman"/>
                <w:b w:val="0"/>
                <w:bCs/>
                <w:sz w:val="21"/>
                <w:szCs w:val="21"/>
                <w:lang w:val="en-US" w:eastAsia="zh-CN"/>
              </w:rPr>
              <w:t>符合要求。</w:t>
            </w:r>
          </w:p>
        </w:tc>
        <w:tc>
          <w:tcPr>
            <w:tcW w:w="137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324" w:type="dxa"/>
          </w:tcPr>
          <w:p>
            <w:r>
              <w:rPr>
                <w:rFonts w:hint="default" w:ascii="Times New Roman" w:hAnsi="Times New Roman" w:eastAsia="宋体" w:cs="Times New Roman"/>
                <w:b w:val="0"/>
                <w:bCs/>
                <w:sz w:val="21"/>
                <w:szCs w:val="21"/>
              </w:rPr>
              <w:t>相关方的需求和希望</w:t>
            </w:r>
          </w:p>
        </w:tc>
        <w:tc>
          <w:tcPr>
            <w:tcW w:w="1141" w:type="dxa"/>
          </w:tcPr>
          <w:p>
            <w:pPr>
              <w:rPr>
                <w:rFonts w:hint="default"/>
                <w:lang w:val="en-US"/>
              </w:rPr>
            </w:pPr>
            <w:r>
              <w:rPr>
                <w:rFonts w:hint="eastAsia"/>
                <w:lang w:val="en-US" w:eastAsia="zh-CN"/>
              </w:rPr>
              <w:t>QEO4.2</w:t>
            </w:r>
          </w:p>
        </w:tc>
        <w:tc>
          <w:tcPr>
            <w:tcW w:w="9867" w:type="dxa"/>
            <w:vAlign w:val="center"/>
          </w:tcPr>
          <w:p>
            <w:pPr>
              <w:rPr>
                <w:rFonts w:hint="eastAsia"/>
              </w:rPr>
            </w:pPr>
            <w:r>
              <w:rPr>
                <w:rFonts w:hint="eastAsia"/>
              </w:rPr>
              <w:t>公司</w:t>
            </w:r>
            <w:r>
              <w:rPr>
                <w:rFonts w:hint="eastAsia"/>
                <w:lang w:val="en-US" w:eastAsia="zh-CN"/>
              </w:rPr>
              <w:t>在管理手册中明确了相关的要求，识别相关方并</w:t>
            </w:r>
            <w:r>
              <w:rPr>
                <w:rFonts w:hint="eastAsia"/>
              </w:rPr>
              <w:t>对这些相关方及其要求的相关信息进行监视和评审，以便于理解和持续满足相关方的需求和期望。</w:t>
            </w:r>
          </w:p>
          <w:p>
            <w:pPr>
              <w:rPr>
                <w:rFonts w:hint="eastAsia"/>
              </w:rPr>
            </w:pPr>
            <w:r>
              <w:rPr>
                <w:rFonts w:hint="eastAsia"/>
                <w:lang w:val="en-US" w:eastAsia="zh-CN"/>
              </w:rPr>
              <w:t>该</w:t>
            </w:r>
            <w:r>
              <w:rPr>
                <w:rFonts w:hint="eastAsia"/>
              </w:rPr>
              <w:t>公司考虑以下相关方：</w:t>
            </w:r>
          </w:p>
          <w:p>
            <w:pPr>
              <w:rPr>
                <w:rFonts w:hint="eastAsia"/>
              </w:rPr>
            </w:pPr>
            <w:r>
              <w:rPr>
                <w:rFonts w:hint="eastAsia"/>
              </w:rPr>
              <w:t>--顾客；--最终用户或受益人；股东；</w:t>
            </w:r>
          </w:p>
          <w:p>
            <w:pPr>
              <w:rPr>
                <w:rFonts w:hint="eastAsia" w:eastAsia="宋体"/>
                <w:lang w:eastAsia="zh-CN"/>
              </w:rPr>
            </w:pPr>
            <w:r>
              <w:rPr>
                <w:rFonts w:hint="eastAsia"/>
              </w:rPr>
              <w:t>--外部供应商</w:t>
            </w:r>
            <w:r>
              <w:rPr>
                <w:rFonts w:hint="eastAsia"/>
                <w:lang w:eastAsia="zh-CN"/>
              </w:rPr>
              <w:t>；</w:t>
            </w:r>
          </w:p>
          <w:p>
            <w:pPr>
              <w:rPr>
                <w:rFonts w:hint="eastAsia"/>
              </w:rPr>
            </w:pPr>
            <w:r>
              <w:rPr>
                <w:rFonts w:hint="eastAsia"/>
              </w:rPr>
              <w:t>--</w:t>
            </w:r>
            <w:r>
              <w:rPr>
                <w:rFonts w:hint="eastAsia"/>
                <w:lang w:val="en-US" w:eastAsia="zh-CN"/>
              </w:rPr>
              <w:t>工作人员</w:t>
            </w:r>
            <w:r>
              <w:rPr>
                <w:rFonts w:hint="eastAsia"/>
              </w:rPr>
              <w:t>及其他为组织工作者；</w:t>
            </w:r>
          </w:p>
          <w:p>
            <w:pPr>
              <w:rPr>
                <w:rFonts w:hint="eastAsia"/>
              </w:rPr>
            </w:pPr>
            <w:r>
              <w:rPr>
                <w:rFonts w:hint="eastAsia"/>
              </w:rPr>
              <w:t>--法律法规及监管机关；</w:t>
            </w:r>
          </w:p>
          <w:p>
            <w:pPr>
              <w:rPr>
                <w:rFonts w:hint="eastAsia"/>
              </w:rPr>
            </w:pPr>
            <w:r>
              <w:rPr>
                <w:rFonts w:hint="eastAsia"/>
              </w:rPr>
              <w:t>--地方社区团体；</w:t>
            </w:r>
          </w:p>
          <w:p>
            <w:pPr>
              <w:rPr>
                <w:rFonts w:hint="eastAsia"/>
              </w:rPr>
            </w:pPr>
            <w:r>
              <w:rPr>
                <w:rFonts w:hint="eastAsia"/>
              </w:rPr>
              <w:t>--非政府组织等。</w:t>
            </w:r>
          </w:p>
          <w:p>
            <w:pPr>
              <w:rPr>
                <w:rFonts w:hint="eastAsia"/>
              </w:rPr>
            </w:pPr>
            <w:r>
              <w:rPr>
                <w:rFonts w:hint="eastAsia"/>
              </w:rPr>
              <w:t>目前顾客</w:t>
            </w:r>
            <w:r>
              <w:rPr>
                <w:rFonts w:hint="eastAsia"/>
                <w:lang w:eastAsia="zh-CN"/>
              </w:rPr>
              <w:t>（</w:t>
            </w:r>
            <w:r>
              <w:rPr>
                <w:rFonts w:hint="eastAsia"/>
                <w:lang w:val="en-US" w:eastAsia="zh-CN"/>
              </w:rPr>
              <w:t>业主</w:t>
            </w:r>
            <w:r>
              <w:rPr>
                <w:rFonts w:hint="eastAsia"/>
                <w:lang w:eastAsia="zh-CN"/>
              </w:rPr>
              <w:t>）</w:t>
            </w:r>
            <w:r>
              <w:rPr>
                <w:rFonts w:hint="eastAsia"/>
              </w:rPr>
              <w:t>的主要需求期望是：提供顾客</w:t>
            </w:r>
            <w:r>
              <w:rPr>
                <w:rFonts w:hint="eastAsia"/>
                <w:lang w:eastAsia="zh-CN"/>
              </w:rPr>
              <w:t>（</w:t>
            </w:r>
            <w:r>
              <w:rPr>
                <w:rFonts w:hint="eastAsia"/>
                <w:lang w:val="en-US" w:eastAsia="zh-CN"/>
              </w:rPr>
              <w:t>业主</w:t>
            </w:r>
            <w:r>
              <w:rPr>
                <w:rFonts w:hint="eastAsia"/>
                <w:lang w:eastAsia="zh-CN"/>
              </w:rPr>
              <w:t>）</w:t>
            </w:r>
            <w:r>
              <w:rPr>
                <w:rFonts w:hint="eastAsia"/>
              </w:rPr>
              <w:t>满意的服务。</w:t>
            </w:r>
          </w:p>
          <w:p>
            <w:pPr>
              <w:pStyle w:val="2"/>
              <w:ind w:left="0" w:leftChars="0" w:firstLine="0" w:firstLineChars="0"/>
              <w:rPr>
                <w:rFonts w:hint="eastAsia" w:ascii="Times New Roman" w:hAnsi="Times New Roman" w:eastAsia="宋体" w:cs="宋体"/>
                <w:kern w:val="2"/>
                <w:sz w:val="24"/>
                <w:szCs w:val="20"/>
                <w:lang w:val="en-US" w:eastAsia="zh-CN" w:bidi="ar-SA"/>
              </w:rPr>
            </w:pPr>
            <w:r>
              <w:drawing>
                <wp:inline distT="0" distB="0" distL="114300" distR="114300">
                  <wp:extent cx="5687695" cy="2520315"/>
                  <wp:effectExtent l="0" t="0" r="1905" b="698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687695" cy="2520315"/>
                          </a:xfrm>
                          <a:prstGeom prst="rect">
                            <a:avLst/>
                          </a:prstGeom>
                          <a:noFill/>
                          <a:ln>
                            <a:noFill/>
                          </a:ln>
                        </pic:spPr>
                      </pic:pic>
                    </a:graphicData>
                  </a:graphic>
                </wp:inline>
              </w:drawing>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default" w:ascii="Times New Roman" w:hAnsi="Times New Roman" w:eastAsia="宋体" w:cs="Times New Roman"/>
                <w:b w:val="0"/>
                <w:bCs/>
                <w:sz w:val="21"/>
                <w:szCs w:val="21"/>
              </w:rPr>
              <w:t>管理体系的范围</w:t>
            </w:r>
          </w:p>
        </w:tc>
        <w:tc>
          <w:tcPr>
            <w:tcW w:w="1141" w:type="dxa"/>
          </w:tcPr>
          <w:p>
            <w:pPr>
              <w:rPr>
                <w:rFonts w:hint="default"/>
                <w:lang w:val="en-US"/>
              </w:rPr>
            </w:pPr>
            <w:r>
              <w:rPr>
                <w:rFonts w:hint="eastAsia"/>
                <w:lang w:val="en-US" w:eastAsia="zh-CN"/>
              </w:rPr>
              <w:t>QEO4.3</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确定</w:t>
            </w:r>
            <w:r>
              <w:rPr>
                <w:rFonts w:hint="eastAsia" w:ascii="Times New Roman" w:hAnsi="Times New Roman" w:eastAsia="宋体" w:cs="Times New Roman"/>
                <w:b w:val="0"/>
                <w:bCs/>
                <w:sz w:val="21"/>
                <w:szCs w:val="21"/>
              </w:rPr>
              <w:t>公司管理体系范围为：</w:t>
            </w:r>
          </w:p>
          <w:p>
            <w:pP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Q：物业管理</w:t>
            </w:r>
            <w:r>
              <w:rPr>
                <w:rFonts w:hint="eastAsia" w:ascii="Times New Roman" w:hAnsi="Times New Roman" w:eastAsia="宋体" w:cs="Times New Roman"/>
                <w:b w:val="0"/>
                <w:bCs/>
                <w:sz w:val="21"/>
                <w:szCs w:val="21"/>
                <w:lang w:val="en-US" w:eastAsia="zh-CN"/>
              </w:rPr>
              <w:t>服务</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E：物业管理</w:t>
            </w:r>
            <w:r>
              <w:rPr>
                <w:rFonts w:hint="eastAsia" w:ascii="Times New Roman" w:hAnsi="Times New Roman" w:eastAsia="宋体" w:cs="Times New Roman"/>
                <w:b w:val="0"/>
                <w:bCs/>
                <w:sz w:val="21"/>
                <w:szCs w:val="21"/>
                <w:lang w:val="en-US" w:eastAsia="zh-CN"/>
              </w:rPr>
              <w:t>服务所涉</w:t>
            </w:r>
            <w:r>
              <w:rPr>
                <w:rFonts w:hint="eastAsia" w:ascii="Times New Roman" w:hAnsi="Times New Roman" w:eastAsia="宋体" w:cs="Times New Roman"/>
                <w:b w:val="0"/>
                <w:bCs/>
                <w:sz w:val="21"/>
                <w:szCs w:val="21"/>
              </w:rPr>
              <w:t>及</w:t>
            </w:r>
            <w:r>
              <w:rPr>
                <w:rFonts w:hint="eastAsia" w:ascii="Times New Roman" w:hAnsi="Times New Roman" w:eastAsia="宋体" w:cs="Times New Roman"/>
                <w:b w:val="0"/>
                <w:bCs/>
                <w:sz w:val="21"/>
                <w:szCs w:val="21"/>
                <w:lang w:val="en-US" w:eastAsia="zh-CN"/>
              </w:rPr>
              <w:t>的</w:t>
            </w:r>
            <w:r>
              <w:rPr>
                <w:rFonts w:hint="eastAsia" w:ascii="Times New Roman" w:hAnsi="Times New Roman" w:eastAsia="宋体" w:cs="Times New Roman"/>
                <w:b w:val="0"/>
                <w:bCs/>
                <w:sz w:val="21"/>
                <w:szCs w:val="21"/>
              </w:rPr>
              <w:t>相关环境管理活动</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O：物业管理</w:t>
            </w:r>
            <w:r>
              <w:rPr>
                <w:rFonts w:hint="eastAsia" w:ascii="Times New Roman" w:hAnsi="Times New Roman" w:eastAsia="宋体" w:cs="Times New Roman"/>
                <w:b w:val="0"/>
                <w:bCs/>
                <w:sz w:val="21"/>
                <w:szCs w:val="21"/>
                <w:lang w:val="en-US" w:eastAsia="zh-CN"/>
              </w:rPr>
              <w:t>所涉</w:t>
            </w:r>
            <w:r>
              <w:rPr>
                <w:rFonts w:hint="eastAsia" w:ascii="Times New Roman" w:hAnsi="Times New Roman" w:eastAsia="宋体" w:cs="Times New Roman"/>
                <w:b w:val="0"/>
                <w:bCs/>
                <w:sz w:val="21"/>
                <w:szCs w:val="21"/>
              </w:rPr>
              <w:t>及</w:t>
            </w:r>
            <w:r>
              <w:rPr>
                <w:rFonts w:hint="eastAsia" w:ascii="Times New Roman" w:hAnsi="Times New Roman" w:eastAsia="宋体" w:cs="Times New Roman"/>
                <w:b w:val="0"/>
                <w:bCs/>
                <w:sz w:val="21"/>
                <w:szCs w:val="21"/>
                <w:lang w:eastAsia="zh-CN"/>
              </w:rPr>
              <w:t>的</w:t>
            </w:r>
            <w:r>
              <w:rPr>
                <w:rFonts w:hint="eastAsia" w:ascii="Times New Roman" w:hAnsi="Times New Roman" w:eastAsia="宋体" w:cs="Times New Roman"/>
                <w:b w:val="0"/>
                <w:bCs/>
                <w:sz w:val="21"/>
                <w:szCs w:val="21"/>
              </w:rPr>
              <w:t>相关职业健康安全管理活动</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无</w:t>
            </w:r>
            <w:r>
              <w:rPr>
                <w:rFonts w:hint="eastAsia" w:ascii="Times New Roman" w:hAnsi="Times New Roman" w:eastAsia="宋体" w:cs="Times New Roman"/>
                <w:b w:val="0"/>
                <w:bCs/>
                <w:sz w:val="21"/>
                <w:szCs w:val="21"/>
              </w:rPr>
              <w:t>不适用条款。</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324" w:type="dxa"/>
          </w:tcPr>
          <w:p>
            <w:r>
              <w:rPr>
                <w:rFonts w:hint="default" w:ascii="Times New Roman" w:hAnsi="Times New Roman" w:eastAsia="宋体" w:cs="Times New Roman"/>
                <w:b w:val="0"/>
                <w:bCs/>
                <w:sz w:val="21"/>
                <w:szCs w:val="21"/>
              </w:rPr>
              <w:t>管理体系及其过程</w:t>
            </w:r>
          </w:p>
        </w:tc>
        <w:tc>
          <w:tcPr>
            <w:tcW w:w="1141" w:type="dxa"/>
          </w:tcPr>
          <w:p>
            <w:pPr>
              <w:rPr>
                <w:rFonts w:hint="default"/>
                <w:lang w:val="en-US"/>
              </w:rPr>
            </w:pPr>
            <w:r>
              <w:rPr>
                <w:rFonts w:hint="eastAsia"/>
                <w:lang w:val="en-US" w:eastAsia="zh-CN"/>
              </w:rPr>
              <w:t>QEO4.4</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该公司20</w:t>
            </w:r>
            <w:r>
              <w:rPr>
                <w:rFonts w:hint="eastAsia" w:ascii="Times New Roman" w:hAnsi="Times New Roman" w:cs="Times New Roman"/>
                <w:b w:val="0"/>
                <w:bCs/>
                <w:sz w:val="21"/>
                <w:szCs w:val="21"/>
                <w:lang w:val="en-US" w:eastAsia="zh-CN"/>
              </w:rPr>
              <w:t>22</w:t>
            </w:r>
            <w:r>
              <w:rPr>
                <w:rFonts w:hint="eastAsia"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w:t>
            </w:r>
            <w:r>
              <w:rPr>
                <w:rFonts w:hint="eastAsia" w:ascii="Times New Roman" w:hAnsi="Times New Roman" w:eastAsia="宋体" w:cs="Times New Roman"/>
                <w:b w:val="0"/>
                <w:bCs/>
                <w:sz w:val="21"/>
                <w:szCs w:val="21"/>
              </w:rPr>
              <w:t>-1根据</w:t>
            </w:r>
            <w:r>
              <w:rPr>
                <w:rFonts w:hint="eastAsia" w:ascii="Times New Roman" w:hAnsi="Times New Roman" w:cs="Times New Roman"/>
                <w:b w:val="0"/>
                <w:bCs/>
                <w:sz w:val="21"/>
                <w:szCs w:val="21"/>
                <w:lang w:val="en-US" w:eastAsia="zh-CN"/>
              </w:rPr>
              <w:t>企业</w:t>
            </w:r>
            <w:r>
              <w:rPr>
                <w:rFonts w:hint="eastAsia" w:ascii="Times New Roman" w:hAnsi="Times New Roman" w:eastAsia="宋体" w:cs="Times New Roman"/>
                <w:b w:val="0"/>
                <w:bCs/>
                <w:sz w:val="21"/>
                <w:szCs w:val="21"/>
              </w:rPr>
              <w:t>的实际情况和标准的要求组织人员编制</w:t>
            </w:r>
            <w:r>
              <w:rPr>
                <w:rFonts w:hint="eastAsia" w:ascii="Times New Roman" w:hAnsi="Times New Roman" w:cs="Times New Roman"/>
                <w:b w:val="0"/>
                <w:bCs/>
                <w:sz w:val="21"/>
                <w:szCs w:val="21"/>
                <w:lang w:val="en-US" w:eastAsia="zh-CN"/>
              </w:rPr>
              <w:t>并发布实施</w:t>
            </w:r>
            <w:r>
              <w:rPr>
                <w:rFonts w:hint="eastAsia" w:ascii="Times New Roman" w:hAnsi="Times New Roman" w:eastAsia="宋体" w:cs="Times New Roman"/>
                <w:b w:val="0"/>
                <w:bCs/>
                <w:sz w:val="21"/>
                <w:szCs w:val="21"/>
              </w:rPr>
              <w:t>了管理手册、</w:t>
            </w:r>
            <w:r>
              <w:rPr>
                <w:rFonts w:hint="eastAsia" w:ascii="Times New Roman" w:hAnsi="Times New Roman" w:cs="Times New Roman"/>
                <w:b w:val="0"/>
                <w:bCs/>
                <w:sz w:val="21"/>
                <w:szCs w:val="21"/>
                <w:lang w:val="en-US" w:eastAsia="zh-CN"/>
              </w:rPr>
              <w:t>程序</w:t>
            </w:r>
            <w:r>
              <w:rPr>
                <w:rFonts w:hint="eastAsia" w:ascii="Times New Roman" w:hAnsi="Times New Roman" w:eastAsia="宋体" w:cs="Times New Roman"/>
                <w:b w:val="0"/>
                <w:bCs/>
                <w:sz w:val="21"/>
                <w:szCs w:val="21"/>
              </w:rPr>
              <w:t>文件</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三级文件</w:t>
            </w:r>
            <w:r>
              <w:rPr>
                <w:rFonts w:hint="eastAsia" w:ascii="Times New Roman" w:hAnsi="Times New Roman" w:eastAsia="宋体" w:cs="Times New Roman"/>
                <w:b w:val="0"/>
                <w:bCs/>
                <w:sz w:val="21"/>
                <w:szCs w:val="21"/>
              </w:rPr>
              <w:t>和</w:t>
            </w:r>
            <w:r>
              <w:rPr>
                <w:rFonts w:hint="eastAsia" w:ascii="Times New Roman" w:hAnsi="Times New Roman" w:cs="Times New Roman"/>
                <w:b w:val="0"/>
                <w:bCs/>
                <w:sz w:val="21"/>
                <w:szCs w:val="21"/>
                <w:lang w:val="en-US" w:eastAsia="zh-CN"/>
              </w:rPr>
              <w:t>相关</w:t>
            </w:r>
            <w:r>
              <w:rPr>
                <w:rFonts w:hint="eastAsia" w:ascii="Times New Roman" w:hAnsi="Times New Roman" w:eastAsia="宋体" w:cs="Times New Roman"/>
                <w:b w:val="0"/>
                <w:bCs/>
                <w:sz w:val="21"/>
                <w:szCs w:val="21"/>
              </w:rPr>
              <w:t>记录表格，制定了管理方针和管理目标。实施了</w:t>
            </w:r>
            <w:r>
              <w:rPr>
                <w:rFonts w:hint="eastAsia" w:ascii="Times New Roman" w:hAnsi="Times New Roman" w:eastAsia="宋体" w:cs="Times New Roman"/>
                <w:b w:val="0"/>
                <w:bCs/>
                <w:sz w:val="21"/>
                <w:szCs w:val="21"/>
                <w:lang w:val="en-US" w:eastAsia="zh-CN"/>
              </w:rPr>
              <w:t>质量、环境、职业健康安全</w:t>
            </w:r>
            <w:r>
              <w:rPr>
                <w:rFonts w:hint="eastAsia" w:ascii="Times New Roman" w:hAnsi="Times New Roman" w:eastAsia="宋体" w:cs="Times New Roman"/>
                <w:b w:val="0"/>
                <w:bCs/>
                <w:sz w:val="21"/>
                <w:szCs w:val="21"/>
              </w:rPr>
              <w:t>管理体系，通过对过程</w:t>
            </w:r>
            <w:r>
              <w:rPr>
                <w:rFonts w:hint="eastAsia" w:ascii="Times New Roman" w:hAnsi="Times New Roman" w:cs="Times New Roman"/>
                <w:b w:val="0"/>
                <w:bCs/>
                <w:sz w:val="21"/>
                <w:szCs w:val="21"/>
                <w:lang w:val="en-US" w:eastAsia="zh-CN"/>
              </w:rPr>
              <w:t>监视</w:t>
            </w:r>
            <w:r>
              <w:rPr>
                <w:rFonts w:hint="eastAsia" w:ascii="Times New Roman" w:hAnsi="Times New Roman" w:eastAsia="宋体" w:cs="Times New Roman"/>
                <w:b w:val="0"/>
                <w:bCs/>
                <w:sz w:val="21"/>
                <w:szCs w:val="21"/>
              </w:rPr>
              <w:t>结果进行分析</w:t>
            </w:r>
            <w:r>
              <w:rPr>
                <w:rFonts w:hint="eastAsia" w:ascii="Times New Roman" w:hAnsi="Times New Roman" w:cs="Times New Roman"/>
                <w:b w:val="0"/>
                <w:bCs/>
                <w:sz w:val="21"/>
                <w:szCs w:val="21"/>
                <w:lang w:val="en-US" w:eastAsia="zh-CN"/>
              </w:rPr>
              <w:t>使</w:t>
            </w:r>
            <w:r>
              <w:rPr>
                <w:rFonts w:hint="eastAsia" w:ascii="Times New Roman" w:hAnsi="Times New Roman" w:eastAsia="宋体" w:cs="Times New Roman"/>
                <w:b w:val="0"/>
                <w:bCs/>
                <w:sz w:val="21"/>
                <w:szCs w:val="21"/>
              </w:rPr>
              <w:t>管理体系得以不断改进。</w:t>
            </w:r>
            <w:r>
              <w:rPr>
                <w:rFonts w:hint="eastAsia" w:ascii="Times New Roman" w:hAnsi="Times New Roman" w:cs="Times New Roman"/>
                <w:b w:val="0"/>
                <w:bCs/>
                <w:sz w:val="21"/>
                <w:szCs w:val="21"/>
                <w:lang w:val="en-US" w:eastAsia="zh-CN"/>
              </w:rPr>
              <w:t>苏总介绍</w:t>
            </w:r>
            <w:r>
              <w:rPr>
                <w:rFonts w:hint="eastAsia" w:ascii="Times New Roman" w:hAnsi="Times New Roman" w:eastAsia="宋体" w:cs="Times New Roman"/>
                <w:b w:val="0"/>
                <w:bCs/>
                <w:sz w:val="21"/>
                <w:szCs w:val="21"/>
              </w:rPr>
              <w:t>管理体系运行以来效果不错管理</w:t>
            </w:r>
            <w:r>
              <w:rPr>
                <w:rFonts w:hint="eastAsia" w:ascii="Times New Roman" w:hAnsi="Times New Roman" w:cs="Times New Roman"/>
                <w:b w:val="0"/>
                <w:bCs/>
                <w:sz w:val="21"/>
                <w:szCs w:val="21"/>
                <w:lang w:val="en-US" w:eastAsia="zh-CN"/>
              </w:rPr>
              <w:t>水平</w:t>
            </w:r>
            <w:r>
              <w:rPr>
                <w:rFonts w:hint="eastAsia" w:ascii="Times New Roman" w:hAnsi="Times New Roman" w:eastAsia="宋体" w:cs="Times New Roman"/>
                <w:b w:val="0"/>
                <w:bCs/>
                <w:sz w:val="21"/>
                <w:szCs w:val="21"/>
              </w:rPr>
              <w:t>有了一定的提高。每</w:t>
            </w:r>
            <w:r>
              <w:rPr>
                <w:rFonts w:hint="eastAsia" w:ascii="Times New Roman" w:hAnsi="Times New Roman" w:cs="Times New Roman"/>
                <w:b w:val="0"/>
                <w:bCs/>
                <w:sz w:val="21"/>
                <w:szCs w:val="21"/>
                <w:lang w:val="en-US" w:eastAsia="zh-CN"/>
              </w:rPr>
              <w:t>年</w:t>
            </w:r>
            <w:r>
              <w:rPr>
                <w:rFonts w:hint="eastAsia" w:ascii="Times New Roman" w:hAnsi="Times New Roman" w:eastAsia="宋体" w:cs="Times New Roman"/>
                <w:b w:val="0"/>
                <w:bCs/>
                <w:sz w:val="21"/>
                <w:szCs w:val="21"/>
              </w:rPr>
              <w:t>对管理目标完成情况进行统计分析，20</w:t>
            </w:r>
            <w:r>
              <w:rPr>
                <w:rFonts w:hint="eastAsia" w:ascii="Times New Roman" w:hAnsi="Times New Roman" w:eastAsia="宋体" w:cs="Times New Roman"/>
                <w:b w:val="0"/>
                <w:bCs/>
                <w:sz w:val="21"/>
                <w:szCs w:val="21"/>
                <w:lang w:val="en-US" w:eastAsia="zh-CN"/>
              </w:rPr>
              <w:t>2</w:t>
            </w:r>
            <w:r>
              <w:rPr>
                <w:rFonts w:hint="eastAsia" w:ascii="Times New Roman" w:hAnsi="Times New Roman" w:cs="Times New Roman"/>
                <w:b w:val="0"/>
                <w:bCs/>
                <w:sz w:val="21"/>
                <w:szCs w:val="21"/>
                <w:lang w:val="en-US" w:eastAsia="zh-CN"/>
              </w:rPr>
              <w:t>2</w:t>
            </w:r>
            <w:r>
              <w:rPr>
                <w:rFonts w:hint="eastAsia" w:ascii="Times New Roman" w:hAnsi="Times New Roman" w:eastAsia="宋体" w:cs="Times New Roman"/>
                <w:b w:val="0"/>
                <w:bCs/>
                <w:sz w:val="21"/>
                <w:szCs w:val="21"/>
              </w:rPr>
              <w:t>年</w:t>
            </w:r>
            <w:r>
              <w:rPr>
                <w:rFonts w:hint="eastAsia" w:ascii="Times New Roman" w:hAnsi="Times New Roman" w:cs="Times New Roman"/>
                <w:b w:val="0"/>
                <w:bCs/>
                <w:sz w:val="21"/>
                <w:szCs w:val="21"/>
                <w:lang w:val="en-US" w:eastAsia="zh-CN"/>
              </w:rPr>
              <w:t>年</w:t>
            </w:r>
            <w:r>
              <w:rPr>
                <w:rFonts w:hint="eastAsia" w:ascii="Times New Roman" w:hAnsi="Times New Roman" w:eastAsia="宋体" w:cs="Times New Roman"/>
                <w:b w:val="0"/>
                <w:bCs/>
                <w:sz w:val="21"/>
                <w:szCs w:val="21"/>
                <w:lang w:val="en-US" w:eastAsia="zh-CN"/>
              </w:rPr>
              <w:t>度</w:t>
            </w:r>
            <w:r>
              <w:rPr>
                <w:rFonts w:hint="eastAsia" w:ascii="Times New Roman" w:hAnsi="Times New Roman" w:eastAsia="宋体" w:cs="Times New Roman"/>
                <w:b w:val="0"/>
                <w:bCs/>
                <w:sz w:val="21"/>
                <w:szCs w:val="21"/>
              </w:rPr>
              <w:t>管理目标分解及完成情况</w:t>
            </w:r>
            <w:r>
              <w:rPr>
                <w:rFonts w:hint="eastAsia" w:ascii="Times New Roman" w:hAnsi="Times New Roman" w:cs="Times New Roman"/>
                <w:b w:val="0"/>
                <w:bCs/>
                <w:sz w:val="21"/>
                <w:szCs w:val="21"/>
                <w:lang w:val="en-US" w:eastAsia="zh-CN"/>
              </w:rPr>
              <w:t>见行政部审核记录</w:t>
            </w:r>
            <w:r>
              <w:rPr>
                <w:rFonts w:hint="eastAsia" w:ascii="Times New Roman" w:hAnsi="Times New Roman" w:eastAsia="宋体" w:cs="Times New Roman"/>
                <w:b w:val="0"/>
                <w:bCs/>
                <w:sz w:val="21"/>
                <w:szCs w:val="21"/>
              </w:rPr>
              <w:t>。</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与</w:t>
            </w:r>
            <w:r>
              <w:rPr>
                <w:rFonts w:hint="eastAsia" w:ascii="Times New Roman" w:hAnsi="Times New Roman" w:cs="Times New Roman"/>
                <w:b w:val="0"/>
                <w:bCs/>
                <w:sz w:val="21"/>
                <w:szCs w:val="21"/>
                <w:lang w:val="en-US" w:eastAsia="zh-CN"/>
              </w:rPr>
              <w:t>总经理</w:t>
            </w:r>
            <w:r>
              <w:rPr>
                <w:rFonts w:hint="eastAsia" w:ascii="Times New Roman" w:hAnsi="Times New Roman" w:eastAsia="宋体" w:cs="Times New Roman"/>
                <w:b w:val="0"/>
                <w:bCs/>
                <w:sz w:val="21"/>
                <w:szCs w:val="21"/>
              </w:rPr>
              <w:t>交流：</w:t>
            </w:r>
            <w:r>
              <w:rPr>
                <w:rFonts w:hint="eastAsia" w:ascii="Times New Roman" w:hAnsi="Times New Roman" w:cs="Times New Roman"/>
                <w:b w:val="0"/>
                <w:bCs/>
                <w:sz w:val="21"/>
                <w:szCs w:val="21"/>
                <w:lang w:val="en-US" w:eastAsia="zh-CN"/>
              </w:rPr>
              <w:t>企业</w:t>
            </w:r>
            <w:r>
              <w:rPr>
                <w:rFonts w:hint="eastAsia" w:ascii="Times New Roman" w:hAnsi="Times New Roman" w:eastAsia="宋体" w:cs="Times New Roman"/>
                <w:b w:val="0"/>
                <w:bCs/>
                <w:sz w:val="21"/>
                <w:szCs w:val="21"/>
              </w:rPr>
              <w:t>确定了满足与管理体系有关的客户及相关方的要求。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1.公司通过监视和评审有关相关方及其有关要求的信息，实现持续改进</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2. 应对风险的措施：</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a) 通过供应商的选择和评定来控制风险，选择供应商时考核其资质及其提供合格产品和合格服务的能力，应与客户需求相匹配。</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rPr>
              <w:t>b)通过签订客户协议和供应商协议的条款把控风险等。</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default" w:ascii="Times New Roman" w:hAnsi="Times New Roman" w:eastAsia="宋体" w:cs="Times New Roman"/>
                <w:b w:val="0"/>
                <w:bCs/>
                <w:sz w:val="21"/>
                <w:szCs w:val="21"/>
              </w:rPr>
              <w:t>领导作用和承诺</w:t>
            </w:r>
          </w:p>
        </w:tc>
        <w:tc>
          <w:tcPr>
            <w:tcW w:w="1141" w:type="dxa"/>
          </w:tcPr>
          <w:p>
            <w:r>
              <w:rPr>
                <w:rFonts w:hint="eastAsia"/>
                <w:lang w:val="en-US" w:eastAsia="zh-CN"/>
              </w:rPr>
              <w:t>QEO5.1</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公司总经理</w:t>
            </w:r>
            <w:r>
              <w:rPr>
                <w:rFonts w:hint="eastAsia" w:ascii="Times New Roman" w:hAnsi="Times New Roman" w:eastAsia="宋体" w:cs="Times New Roman"/>
                <w:b w:val="0"/>
                <w:bCs/>
                <w:sz w:val="21"/>
                <w:szCs w:val="21"/>
                <w:lang w:val="en-US" w:eastAsia="zh-CN"/>
              </w:rPr>
              <w:t>苏立峰</w:t>
            </w:r>
            <w:r>
              <w:rPr>
                <w:rFonts w:hint="eastAsia" w:ascii="Times New Roman" w:hAnsi="Times New Roman" w:eastAsia="宋体" w:cs="Times New Roman"/>
                <w:b w:val="0"/>
                <w:bCs/>
                <w:sz w:val="21"/>
                <w:szCs w:val="21"/>
              </w:rPr>
              <w:t>介绍</w:t>
            </w:r>
            <w:r>
              <w:rPr>
                <w:rFonts w:hint="eastAsia" w:ascii="Times New Roman" w:hAnsi="Times New Roman" w:cs="Times New Roman"/>
                <w:b w:val="0"/>
                <w:bCs/>
                <w:sz w:val="21"/>
                <w:szCs w:val="21"/>
                <w:lang w:val="en-US" w:eastAsia="zh-CN"/>
              </w:rPr>
              <w:t>其领导层</w:t>
            </w:r>
            <w:r>
              <w:rPr>
                <w:rFonts w:hint="eastAsia" w:ascii="Times New Roman" w:hAnsi="Times New Roman" w:eastAsia="宋体" w:cs="Times New Roman"/>
                <w:b w:val="0"/>
                <w:bCs/>
                <w:sz w:val="21"/>
                <w:szCs w:val="21"/>
              </w:rPr>
              <w:t>主要承诺有：</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对管理体系的有效性要承担责任；</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建立公司的管理方针和目标并确保与公司的环境相适应，与公司战略方向保持一致以及方针在公司内得到沟通理解和有效实施； </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确保管理体系要求融入公司的物业管理各过程。</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促进使用过程方法和机遇风险的思维。</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建立合理的公司组织结构,确保管理体系所需资源被获得；</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建立良好的沟通机制，杜绝因沟通影响管理体系运行有效性；</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确保管理体系实现其预期的结果。</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促使员工积极参与，指导和支持他们为公司管理体系的有效性作出贡献。</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推动公司改进和创新；</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做好管理岗位的任命，公司内部公开发布任命书，以支持其他管理者在其负责领域证实其领导作用；</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对全体员工进行了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rPr>
              <w:t>承诺基本实现，没有违反的情况发生。</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default" w:ascii="Times New Roman" w:hAnsi="Times New Roman" w:eastAsia="宋体" w:cs="Times New Roman"/>
                <w:b w:val="0"/>
                <w:bCs/>
                <w:sz w:val="21"/>
                <w:szCs w:val="21"/>
              </w:rPr>
              <w:t>以顾客为关注焦点</w:t>
            </w:r>
          </w:p>
        </w:tc>
        <w:tc>
          <w:tcPr>
            <w:tcW w:w="1141" w:type="dxa"/>
          </w:tcPr>
          <w:p>
            <w:pPr>
              <w:rPr>
                <w:rFonts w:hint="default" w:eastAsia="宋体"/>
                <w:lang w:val="en-US" w:eastAsia="zh-CN"/>
              </w:rPr>
            </w:pPr>
            <w:r>
              <w:rPr>
                <w:rFonts w:hint="eastAsia"/>
                <w:lang w:val="en-US" w:eastAsia="zh-CN"/>
              </w:rPr>
              <w:t>Q5.1.2</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总经理证实其以顾客为关注焦点的领导作用和承诺，通过以下方面实现：</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rPr>
              <w:t>确定、理解并持续满足顾客要求以及适用的法律法规要求；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rPr>
              <w:t>确定和应对能够影响产品、产品符合性以及增强顾客满意能力的风险和机遇；</w:t>
            </w:r>
          </w:p>
          <w:p>
            <w:pP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w:t>
            </w:r>
            <w:r>
              <w:rPr>
                <w:rFonts w:hint="eastAsia" w:ascii="Times New Roman" w:hAnsi="Times New Roman" w:eastAsia="宋体" w:cs="Times New Roman"/>
                <w:b w:val="0"/>
                <w:bCs/>
                <w:sz w:val="21"/>
                <w:szCs w:val="21"/>
              </w:rPr>
              <w:t>始终致力于增强顾客满意。</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rPr>
              <w:t>详见审核Q9.1.2条款记录。</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default" w:ascii="Times New Roman" w:hAnsi="Times New Roman" w:eastAsia="宋体" w:cs="Times New Roman"/>
                <w:b w:val="0"/>
                <w:bCs/>
                <w:sz w:val="21"/>
                <w:szCs w:val="21"/>
              </w:rPr>
              <w:t>管理方针</w:t>
            </w:r>
          </w:p>
        </w:tc>
        <w:tc>
          <w:tcPr>
            <w:tcW w:w="1141" w:type="dxa"/>
          </w:tcPr>
          <w:p>
            <w:pPr>
              <w:rPr>
                <w:rFonts w:hint="default" w:eastAsia="宋体"/>
                <w:lang w:val="en-US" w:eastAsia="zh-CN"/>
              </w:rPr>
            </w:pPr>
            <w:r>
              <w:rPr>
                <w:rFonts w:hint="eastAsia"/>
                <w:lang w:val="en-US" w:eastAsia="zh-CN"/>
              </w:rPr>
              <w:t>QEO5.2</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为了满足顾客、相关方要求，争取超越顾客、相关方期望，充分考虑与公司的经营宗旨、环境因素、危险源和规模等实际情况相适应，并对满足顾客、预防污染、预防伤害和疾病、遵守有关法律法规和其他要求及持续改进做出承诺，确定我们公司的质量、环境和职业健康安全方针。</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 xml:space="preserve"> 质量、环境和职业健康安全方针：</w:t>
            </w:r>
          </w:p>
          <w:p>
            <w:pP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真诚服务、客户满意；保护环境、节能降耗；以人为本、保障安全！</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公司承诺：</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为社会：共享企业成功，共增社会福祉；控制污染、倡导绿色环保地球；</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为客户：提供技术领先的、稳定可信赖的、优化环保设备的完整解决方案和全方位、多层次的优质服务；</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为员工：为员工创造一个安全、健康、舒适的经营与工作环境，减少职业伤害、健康损害和疾病；不断创造广阔的发展上升空间，提供实现人生理想和人生价值的平台。</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为企业：打造一个持续、健康、稳定发展的企业，以效益回报企业利益。</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 xml:space="preserve"> 与总经理进行交谈，总经理</w:t>
            </w:r>
            <w:r>
              <w:rPr>
                <w:rFonts w:hint="eastAsia" w:ascii="Times New Roman" w:hAnsi="Times New Roman" w:eastAsia="宋体" w:cs="Times New Roman"/>
                <w:b w:val="0"/>
                <w:bCs/>
                <w:sz w:val="21"/>
                <w:szCs w:val="21"/>
                <w:lang w:val="en-US" w:eastAsia="zh-CN"/>
              </w:rPr>
              <w:t>李焕强</w:t>
            </w:r>
            <w:r>
              <w:rPr>
                <w:rFonts w:hint="eastAsia" w:ascii="Times New Roman" w:hAnsi="Times New Roman" w:eastAsia="宋体" w:cs="Times New Roman"/>
                <w:b w:val="0"/>
                <w:bCs/>
                <w:sz w:val="21"/>
                <w:szCs w:val="21"/>
              </w:rPr>
              <w:t>对方针内涵的理解较深刻。方针能为制定目标提供框架，方针基本符合标准的要求。</w:t>
            </w:r>
          </w:p>
          <w:p>
            <w:pPr>
              <w:rPr>
                <w:rFonts w:hint="eastAsia" w:ascii="楷体" w:hAnsi="楷体" w:eastAsia="楷体" w:cs="楷体"/>
                <w:kern w:val="2"/>
                <w:sz w:val="21"/>
                <w:szCs w:val="21"/>
                <w:lang w:val="en-US" w:eastAsia="zh-CN" w:bidi="ar-SA"/>
              </w:rPr>
            </w:pPr>
            <w:r>
              <w:rPr>
                <w:rFonts w:hint="eastAsia" w:ascii="Times New Roman" w:hAnsi="Times New Roman" w:cs="Times New Roman"/>
                <w:b w:val="0"/>
                <w:bCs/>
                <w:sz w:val="21"/>
                <w:szCs w:val="21"/>
                <w:lang w:val="en-US" w:eastAsia="zh-CN"/>
              </w:rPr>
              <w:t>通过</w:t>
            </w:r>
            <w:r>
              <w:rPr>
                <w:rFonts w:hint="eastAsia" w:ascii="Times New Roman" w:hAnsi="Times New Roman" w:eastAsia="宋体" w:cs="Times New Roman"/>
                <w:b w:val="0"/>
                <w:bCs/>
                <w:sz w:val="21"/>
                <w:szCs w:val="21"/>
              </w:rPr>
              <w:t>会议、文件等手段保证管理方针为全体员工理解并落实到工作中。管理评审时对方针的持续适宜性进行了评审，有评审记录。</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24" w:type="dxa"/>
          </w:tcPr>
          <w:p>
            <w:r>
              <w:rPr>
                <w:rFonts w:hint="default" w:ascii="Times New Roman" w:hAnsi="Times New Roman" w:eastAsia="宋体" w:cs="Times New Roman"/>
                <w:b w:val="0"/>
                <w:bCs/>
                <w:sz w:val="21"/>
                <w:szCs w:val="21"/>
              </w:rPr>
              <w:t>组织的岗位、职责权限</w:t>
            </w:r>
          </w:p>
        </w:tc>
        <w:tc>
          <w:tcPr>
            <w:tcW w:w="1141" w:type="dxa"/>
          </w:tcPr>
          <w:p>
            <w:pPr>
              <w:rPr>
                <w:rFonts w:hint="default"/>
                <w:lang w:val="en-US"/>
              </w:rPr>
            </w:pPr>
            <w:r>
              <w:rPr>
                <w:rFonts w:hint="eastAsia"/>
                <w:lang w:val="en-US" w:eastAsia="zh-CN"/>
              </w:rPr>
              <w:t>QEO5.3</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公司任命</w:t>
            </w:r>
            <w:r>
              <w:rPr>
                <w:rFonts w:hint="eastAsia" w:ascii="Times New Roman" w:hAnsi="Times New Roman" w:eastAsia="宋体" w:cs="Times New Roman"/>
                <w:b w:val="0"/>
                <w:bCs/>
                <w:sz w:val="21"/>
                <w:szCs w:val="21"/>
                <w:lang w:eastAsia="zh-CN"/>
              </w:rPr>
              <w:t>袁琳</w:t>
            </w:r>
            <w:r>
              <w:rPr>
                <w:rFonts w:hint="eastAsia" w:ascii="Times New Roman" w:hAnsi="Times New Roman" w:eastAsia="宋体" w:cs="Times New Roman"/>
                <w:b w:val="0"/>
                <w:bCs/>
                <w:sz w:val="21"/>
                <w:szCs w:val="21"/>
              </w:rPr>
              <w:t>为公司管理者代表，任期为三年；除负责其他工作外，作为管理者代表</w:t>
            </w:r>
            <w:r>
              <w:rPr>
                <w:rFonts w:hint="eastAsia" w:ascii="Times New Roman" w:hAnsi="Times New Roman" w:cs="Times New Roman"/>
                <w:b w:val="0"/>
                <w:bCs/>
                <w:sz w:val="21"/>
                <w:szCs w:val="21"/>
                <w:lang w:val="en-US" w:eastAsia="zh-CN"/>
              </w:rPr>
              <w:t>确定</w:t>
            </w:r>
            <w:r>
              <w:rPr>
                <w:rFonts w:hint="eastAsia" w:ascii="Times New Roman" w:hAnsi="Times New Roman" w:eastAsia="宋体" w:cs="Times New Roman"/>
                <w:b w:val="0"/>
                <w:bCs/>
                <w:sz w:val="21"/>
                <w:szCs w:val="21"/>
              </w:rPr>
              <w:t>其具体职责。其职责和权限规定如下：</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1.负责组织建立、实施和保持公司的质量、环境和职业健康安全管理体系，促进有效运行；</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2.向总经理及时报告公司质量、环境和职业健康安全管理体系的运行情况和任何改进的需求；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3.采取有效形式，提高公司全体员工满足顾客要求的意识及环境、职业健康安全参与意识；</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4.代表公司就质量、环境和职业健康安全管理的有关事宜与外部方进行联络；</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5.负责对质量、环境和职业健康安全管理体系有关争议的裁决；</w:t>
            </w:r>
          </w:p>
          <w:p>
            <w:pPr>
              <w:rPr>
                <w:rFonts w:hint="eastAsia" w:ascii="楷体" w:hAnsi="楷体" w:eastAsia="楷体" w:cs="楷体"/>
                <w:kern w:val="2"/>
                <w:sz w:val="21"/>
                <w:szCs w:val="21"/>
                <w:lang w:val="en-US" w:eastAsia="zh-CN" w:bidi="ar-SA"/>
              </w:rPr>
            </w:pPr>
            <w:r>
              <w:rPr>
                <w:rFonts w:hint="eastAsia" w:ascii="Times New Roman" w:hAnsi="Times New Roman" w:eastAsia="宋体" w:cs="Times New Roman"/>
                <w:b w:val="0"/>
                <w:bCs/>
                <w:sz w:val="21"/>
                <w:szCs w:val="21"/>
              </w:rPr>
              <w:t>6.负责组织内审工作。</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eastAsia" w:ascii="Times New Roman" w:hAnsi="Times New Roman" w:cs="Times New Roman"/>
                <w:sz w:val="21"/>
                <w:szCs w:val="21"/>
                <w:lang w:val="en-US" w:eastAsia="zh-CN"/>
              </w:rPr>
              <w:t>员工的</w:t>
            </w:r>
            <w:r>
              <w:rPr>
                <w:rFonts w:hint="default" w:ascii="Times New Roman" w:hAnsi="Times New Roman" w:eastAsia="宋体" w:cs="Times New Roman"/>
                <w:sz w:val="21"/>
                <w:szCs w:val="21"/>
              </w:rPr>
              <w:t>参与和协商</w:t>
            </w:r>
          </w:p>
        </w:tc>
        <w:tc>
          <w:tcPr>
            <w:tcW w:w="1141" w:type="dxa"/>
          </w:tcPr>
          <w:p>
            <w:pPr>
              <w:rPr>
                <w:rFonts w:hint="default" w:eastAsia="宋体"/>
                <w:lang w:val="en-US" w:eastAsia="zh-CN"/>
              </w:rPr>
            </w:pPr>
            <w:r>
              <w:rPr>
                <w:rFonts w:hint="eastAsia"/>
                <w:lang w:val="en-US" w:eastAsia="zh-CN"/>
              </w:rPr>
              <w:t>O5.4</w:t>
            </w:r>
          </w:p>
        </w:tc>
        <w:tc>
          <w:tcPr>
            <w:tcW w:w="986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企业任命郭平双为职业健康安全事务代表，确定了其工作职责是： </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参与和协商有关职业健康安全的活动和评审，包括职业健康安全方针、目标；</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参与公司职业健康安全管理文件和制度的制定；</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协助公司了解工作人员和有关相关方的职业健康安全方面的反馈意见；</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对影响他们职业健康的任何变化进行协商；</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对职业健康安全事务发表意见；</w:t>
            </w:r>
          </w:p>
          <w:p>
            <w:pPr>
              <w:rPr>
                <w:rFonts w:hint="eastAsia" w:ascii="楷体" w:hAnsi="楷体" w:eastAsia="楷体" w:cs="楷体"/>
                <w:kern w:val="2"/>
                <w:sz w:val="21"/>
                <w:szCs w:val="21"/>
                <w:lang w:val="en-US" w:eastAsia="zh-CN" w:bidi="ar-SA"/>
              </w:rPr>
            </w:pPr>
            <w:r>
              <w:rPr>
                <w:rFonts w:hint="eastAsia" w:ascii="Times New Roman" w:hAnsi="Times New Roman" w:cs="Times New Roman"/>
                <w:sz w:val="21"/>
                <w:szCs w:val="21"/>
                <w:lang w:val="en-US" w:eastAsia="zh-CN"/>
              </w:rPr>
              <w:t>参与环境因素、危险源评价和控制措施的确定，适当参与事件调查。</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24" w:type="dxa"/>
          </w:tcPr>
          <w:p>
            <w:r>
              <w:rPr>
                <w:rFonts w:hint="default" w:ascii="Times New Roman" w:hAnsi="Times New Roman" w:eastAsia="宋体" w:cs="Times New Roman"/>
                <w:b w:val="0"/>
                <w:bCs/>
                <w:sz w:val="21"/>
                <w:szCs w:val="21"/>
              </w:rPr>
              <w:t>应对风险和机会的策划</w:t>
            </w:r>
          </w:p>
        </w:tc>
        <w:tc>
          <w:tcPr>
            <w:tcW w:w="1141" w:type="dxa"/>
          </w:tcPr>
          <w:p>
            <w:r>
              <w:rPr>
                <w:rFonts w:hint="eastAsia"/>
                <w:lang w:val="en-US" w:eastAsia="zh-CN"/>
              </w:rPr>
              <w:t>QEO6.1</w:t>
            </w:r>
          </w:p>
        </w:tc>
        <w:tc>
          <w:tcPr>
            <w:tcW w:w="9867" w:type="dxa"/>
            <w:vAlign w:val="center"/>
          </w:tcPr>
          <w:p>
            <w:pPr>
              <w:rPr>
                <w:rFonts w:hint="eastAsia"/>
                <w:lang w:val="en-US" w:eastAsia="zh-CN"/>
              </w:rPr>
            </w:pPr>
            <w:r>
              <w:rPr>
                <w:rFonts w:hint="eastAsia"/>
                <w:lang w:val="en-US" w:eastAsia="zh-CN"/>
              </w:rPr>
              <w:t xml:space="preserve">公司总经理组织相关部门策划质量、环境、职业健康安全管理体系，考虑到组织所处环境的因素及涉及的问题和相关方的需求，确定需要应对的风险和机遇，以： </w:t>
            </w:r>
          </w:p>
          <w:p>
            <w:pPr>
              <w:rPr>
                <w:rFonts w:hint="eastAsia"/>
                <w:lang w:val="en-US" w:eastAsia="zh-CN"/>
              </w:rPr>
            </w:pPr>
            <w:r>
              <w:rPr>
                <w:rFonts w:hint="eastAsia"/>
                <w:lang w:val="en-US" w:eastAsia="zh-CN"/>
              </w:rPr>
              <w:t xml:space="preserve">确保质量、环境、职业健康安全管理体系分范围和能够实现其预期结果； </w:t>
            </w:r>
          </w:p>
          <w:p>
            <w:pPr>
              <w:rPr>
                <w:rFonts w:hint="eastAsia"/>
                <w:lang w:val="en-US" w:eastAsia="zh-CN"/>
              </w:rPr>
            </w:pPr>
            <w:r>
              <w:rPr>
                <w:rFonts w:hint="eastAsia"/>
                <w:lang w:val="en-US" w:eastAsia="zh-CN"/>
              </w:rPr>
              <w:t xml:space="preserve">增强有利影响，避免、预防或减少不期望的结果，包括影响组织的潜在的外部环境状况； </w:t>
            </w:r>
          </w:p>
          <w:p>
            <w:pPr>
              <w:rPr>
                <w:rFonts w:hint="eastAsia"/>
                <w:lang w:val="en-US" w:eastAsia="zh-CN"/>
              </w:rPr>
            </w:pPr>
            <w:r>
              <w:rPr>
                <w:rFonts w:hint="eastAsia"/>
                <w:lang w:val="en-US" w:eastAsia="zh-CN"/>
              </w:rPr>
              <w:t>环境和职业健康的合规性义务；</w:t>
            </w:r>
          </w:p>
          <w:p>
            <w:pPr>
              <w:rPr>
                <w:rFonts w:hint="eastAsia"/>
                <w:lang w:val="en-US" w:eastAsia="zh-CN"/>
              </w:rPr>
            </w:pPr>
            <w:r>
              <w:rPr>
                <w:rFonts w:hint="eastAsia"/>
                <w:lang w:val="en-US" w:eastAsia="zh-CN"/>
              </w:rPr>
              <w:t xml:space="preserve">实现改进。 </w:t>
            </w:r>
          </w:p>
          <w:p>
            <w:r>
              <w:drawing>
                <wp:inline distT="0" distB="0" distL="114300" distR="114300">
                  <wp:extent cx="5840730" cy="1444625"/>
                  <wp:effectExtent l="0" t="0" r="1270" b="317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840730" cy="1444625"/>
                          </a:xfrm>
                          <a:prstGeom prst="rect">
                            <a:avLst/>
                          </a:prstGeom>
                          <a:noFill/>
                          <a:ln>
                            <a:noFill/>
                          </a:ln>
                        </pic:spPr>
                      </pic:pic>
                    </a:graphicData>
                  </a:graphic>
                </wp:inline>
              </w:drawing>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在策划应对风险和机遇的措施时，行政部考虑了企业所处的环境、重要环境因素、合规义务，以及面对的风险和机遇，制定了环境、职业健康安全目标及管理方案，总经理刘辉负责批准。</w:t>
            </w:r>
          </w:p>
          <w:p>
            <w:pPr>
              <w:pStyle w:val="2"/>
              <w:ind w:left="0" w:leftChars="0" w:firstLine="0" w:firstLineChars="0"/>
              <w:rPr>
                <w:rFonts w:hint="eastAsia" w:ascii="Times New Roman" w:hAnsi="Times New Roman" w:eastAsia="宋体" w:cs="宋体"/>
                <w:kern w:val="2"/>
                <w:sz w:val="24"/>
                <w:szCs w:val="20"/>
                <w:lang w:val="en-US" w:eastAsia="zh-CN" w:bidi="ar-SA"/>
              </w:rPr>
            </w:pPr>
            <w:r>
              <w:rPr>
                <w:rFonts w:hint="eastAsia" w:ascii="Times New Roman" w:hAnsi="Times New Roman" w:cs="Times New Roman"/>
                <w:sz w:val="21"/>
                <w:szCs w:val="21"/>
                <w:lang w:val="en-US" w:eastAsia="zh-CN"/>
              </w:rPr>
              <w:t>环境、职业健康安全管理方案中明确为实现环境、职业健康安全目标和指标的责任部门；规定实现环境、职业健康安全目标和指标的时间；具体措施和经费预算；都由总经理批准。环境、职业健康安全管理方案的实施，综合部每年对方案实施情况进行检查跟踪，向总经理报告；一般在管理评审之前对环境、职业健康安全目标及管理方案由综合部对其进行评审，并将完成情况以书面形式呈报管理者代表，以便提交管理评审。</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r>
              <w:rPr>
                <w:rFonts w:hint="default" w:ascii="Times New Roman" w:hAnsi="Times New Roman" w:eastAsia="宋体" w:cs="Times New Roman"/>
                <w:b w:val="0"/>
                <w:bCs/>
                <w:sz w:val="21"/>
                <w:szCs w:val="21"/>
              </w:rPr>
              <w:t>目标和实现计划</w:t>
            </w:r>
          </w:p>
        </w:tc>
        <w:tc>
          <w:tcPr>
            <w:tcW w:w="1141" w:type="dxa"/>
          </w:tcPr>
          <w:p>
            <w:pPr>
              <w:rPr>
                <w:rFonts w:hint="default"/>
                <w:lang w:val="en-US"/>
              </w:rPr>
            </w:pPr>
            <w:r>
              <w:rPr>
                <w:rFonts w:hint="eastAsia"/>
                <w:lang w:val="en-US" w:eastAsia="zh-CN"/>
              </w:rPr>
              <w:t>QEO6.2</w:t>
            </w:r>
          </w:p>
        </w:tc>
        <w:tc>
          <w:tcPr>
            <w:tcW w:w="986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公司对管理体系所需的相关职能、层次和过程设定管理目标。</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公司管理目标是：</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1、质量目标</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color w:val="000000"/>
                <w:szCs w:val="18"/>
              </w:rPr>
              <w:t>客户投诉处理率100%</w:t>
            </w:r>
            <w:r>
              <w:rPr>
                <w:rFonts w:hint="eastAsia"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eastAsia" w:ascii="宋体" w:hAnsi="宋体" w:cs="宋体"/>
                <w:sz w:val="21"/>
                <w:szCs w:val="21"/>
                <w:lang w:eastAsia="zh-CN"/>
              </w:rPr>
              <w:t>客户满意率达到</w:t>
            </w:r>
            <w:r>
              <w:rPr>
                <w:rFonts w:hint="eastAsia" w:ascii="宋体" w:hAnsi="宋体" w:cs="宋体"/>
                <w:sz w:val="21"/>
                <w:szCs w:val="21"/>
                <w:lang w:val="en-US" w:eastAsia="zh-CN"/>
              </w:rPr>
              <w:t>90%</w:t>
            </w:r>
            <w:r>
              <w:rPr>
                <w:rFonts w:hint="eastAsia"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2、环境目标和指标</w:t>
            </w:r>
          </w:p>
          <w:p>
            <w:pPr>
              <w:rPr>
                <w:rFonts w:hint="eastAsia" w:ascii="宋体" w:hAnsi="宋体" w:cs="宋体"/>
                <w:kern w:val="0"/>
                <w:sz w:val="21"/>
                <w:szCs w:val="21"/>
              </w:rPr>
            </w:pPr>
            <w:r>
              <w:rPr>
                <w:rFonts w:hint="eastAsia"/>
                <w:color w:val="000000"/>
                <w:szCs w:val="18"/>
              </w:rPr>
              <w:t>固废分类回收率100%</w:t>
            </w:r>
            <w:r>
              <w:rPr>
                <w:rFonts w:hint="eastAsia" w:ascii="宋体" w:hAnsi="宋体" w:cs="宋体"/>
                <w:kern w:val="0"/>
                <w:sz w:val="21"/>
                <w:szCs w:val="21"/>
              </w:rPr>
              <w:t>。</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3、职业健康安全目标和指标</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ascii="宋体" w:hAnsi="宋体" w:eastAsia="宋体" w:cs="宋体"/>
                <w:kern w:val="0"/>
                <w:sz w:val="21"/>
                <w:szCs w:val="21"/>
              </w:rPr>
              <w:t>火灾</w:t>
            </w:r>
            <w:r>
              <w:rPr>
                <w:rFonts w:hint="eastAsia" w:ascii="宋体" w:hAnsi="宋体" w:eastAsia="宋体" w:cs="宋体"/>
                <w:kern w:val="0"/>
                <w:sz w:val="21"/>
                <w:szCs w:val="21"/>
                <w:lang w:val="en-US" w:eastAsia="zh-CN"/>
              </w:rPr>
              <w:t>事故</w:t>
            </w:r>
            <w:r>
              <w:rPr>
                <w:rFonts w:hint="eastAsia" w:ascii="宋体" w:hAnsi="宋体" w:eastAsia="宋体" w:cs="宋体"/>
                <w:kern w:val="0"/>
                <w:sz w:val="21"/>
                <w:szCs w:val="21"/>
              </w:rPr>
              <w:t>为</w:t>
            </w:r>
            <w:r>
              <w:rPr>
                <w:rFonts w:hint="eastAsia" w:ascii="宋体" w:hAnsi="宋体" w:eastAsia="宋体" w:cs="宋体"/>
                <w:kern w:val="0"/>
                <w:sz w:val="21"/>
                <w:szCs w:val="21"/>
                <w:lang w:val="en-US" w:eastAsia="zh-CN"/>
              </w:rPr>
              <w:t>0</w:t>
            </w:r>
            <w:r>
              <w:rPr>
                <w:rFonts w:hint="eastAsia" w:ascii="Times New Roman" w:hAnsi="Times New Roman" w:cs="Times New Roman"/>
                <w:sz w:val="21"/>
                <w:szCs w:val="21"/>
                <w:lang w:val="en-US" w:eastAsia="zh-CN"/>
              </w:rPr>
              <w:t xml:space="preserve">； </w:t>
            </w:r>
          </w:p>
          <w:p>
            <w:pPr>
              <w:rPr>
                <w:rFonts w:hint="eastAsia" w:ascii="宋体" w:hAnsi="宋体" w:cs="宋体"/>
                <w:kern w:val="0"/>
                <w:sz w:val="21"/>
                <w:szCs w:val="21"/>
                <w:lang w:val="en-US" w:eastAsia="zh-CN"/>
              </w:rPr>
            </w:pPr>
            <w:r>
              <w:rPr>
                <w:rFonts w:hint="eastAsia" w:ascii="Times New Roman" w:hAnsi="Times New Roman" w:cs="Times New Roman"/>
                <w:sz w:val="21"/>
                <w:szCs w:val="21"/>
                <w:lang w:val="en-US" w:eastAsia="zh-CN"/>
              </w:rPr>
              <w:t>2）</w:t>
            </w:r>
            <w:r>
              <w:rPr>
                <w:rFonts w:hint="eastAsia" w:ascii="宋体" w:hAnsi="宋体" w:cs="宋体"/>
                <w:kern w:val="0"/>
                <w:sz w:val="21"/>
                <w:szCs w:val="21"/>
                <w:lang w:val="en-US" w:eastAsia="zh-CN"/>
              </w:rPr>
              <w:t>人身伤害</w:t>
            </w:r>
            <w:r>
              <w:rPr>
                <w:rFonts w:hint="eastAsia" w:ascii="宋体" w:hAnsi="宋体" w:cs="宋体"/>
                <w:kern w:val="0"/>
                <w:sz w:val="21"/>
                <w:szCs w:val="21"/>
                <w:lang w:eastAsia="zh-CN"/>
              </w:rPr>
              <w:t>事故为</w:t>
            </w:r>
            <w:r>
              <w:rPr>
                <w:rFonts w:hint="eastAsia" w:ascii="宋体" w:hAnsi="宋体" w:cs="宋体"/>
                <w:kern w:val="0"/>
                <w:sz w:val="21"/>
                <w:szCs w:val="21"/>
                <w:lang w:val="en-US" w:eastAsia="zh-CN"/>
              </w:rPr>
              <w:t>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目标可测量，与公司管理方针一致。</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每年由综合部按公司管理目标考核要求统计考核公司管理目标完成情况，提交管理评审会议。</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--查2022年一季度公司管理目标完成情况，各项目标均已完成，考核人杨叶静</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针对重要环境因素、不可接受风险制订了管理方案并予以实施，基本有效，详见行政部该条款审核记录。</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变更的策划</w:t>
            </w:r>
          </w:p>
        </w:tc>
        <w:tc>
          <w:tcPr>
            <w:tcW w:w="1141" w:type="dxa"/>
          </w:tcPr>
          <w:p>
            <w:pPr>
              <w:rPr>
                <w:rFonts w:hint="default"/>
                <w:lang w:val="en-US" w:eastAsia="zh-CN"/>
              </w:rPr>
            </w:pPr>
            <w:r>
              <w:rPr>
                <w:rFonts w:hint="eastAsia"/>
                <w:lang w:val="en-US" w:eastAsia="zh-CN"/>
              </w:rPr>
              <w:t>Q6.3</w:t>
            </w:r>
          </w:p>
        </w:tc>
        <w:tc>
          <w:tcPr>
            <w:tcW w:w="9867"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公司确定需要对管理体系进行变更时，应经策划并系统的实施。公司应考虑：</w:t>
            </w:r>
          </w:p>
          <w:p>
            <w:pPr>
              <w:rPr>
                <w:rFonts w:hint="eastAsia" w:ascii="宋体" w:hAnsi="宋体" w:eastAsia="宋体" w:cs="宋体"/>
                <w:kern w:val="0"/>
                <w:sz w:val="21"/>
                <w:szCs w:val="21"/>
              </w:rPr>
            </w:pPr>
            <w:r>
              <w:rPr>
                <w:rFonts w:hint="eastAsia" w:ascii="宋体" w:hAnsi="宋体" w:eastAsia="宋体" w:cs="宋体"/>
                <w:kern w:val="0"/>
                <w:sz w:val="21"/>
                <w:szCs w:val="21"/>
              </w:rPr>
              <w:t>变更目的及其潜在后果；</w:t>
            </w:r>
          </w:p>
          <w:p>
            <w:pPr>
              <w:rPr>
                <w:rFonts w:hint="eastAsia" w:ascii="宋体" w:hAnsi="宋体" w:eastAsia="宋体" w:cs="宋体"/>
                <w:kern w:val="0"/>
                <w:sz w:val="21"/>
                <w:szCs w:val="21"/>
              </w:rPr>
            </w:pPr>
            <w:r>
              <w:rPr>
                <w:rFonts w:hint="eastAsia" w:ascii="宋体" w:hAnsi="宋体" w:eastAsia="宋体" w:cs="宋体"/>
                <w:kern w:val="0"/>
                <w:sz w:val="21"/>
                <w:szCs w:val="21"/>
              </w:rPr>
              <w:t xml:space="preserve"> 管理体系的完整性；</w:t>
            </w:r>
          </w:p>
          <w:p>
            <w:pPr>
              <w:rPr>
                <w:rFonts w:hint="eastAsia" w:ascii="宋体" w:hAnsi="宋体" w:eastAsia="宋体" w:cs="宋体"/>
                <w:kern w:val="0"/>
                <w:sz w:val="21"/>
                <w:szCs w:val="21"/>
              </w:rPr>
            </w:pPr>
            <w:r>
              <w:rPr>
                <w:rFonts w:hint="eastAsia" w:ascii="宋体" w:hAnsi="宋体" w:eastAsia="宋体" w:cs="宋体"/>
                <w:kern w:val="0"/>
                <w:sz w:val="21"/>
                <w:szCs w:val="21"/>
              </w:rPr>
              <w:t xml:space="preserve"> 资源的可获得性；</w:t>
            </w:r>
          </w:p>
          <w:p>
            <w:pPr>
              <w:rPr>
                <w:rFonts w:hint="eastAsia" w:ascii="宋体" w:hAnsi="宋体" w:eastAsia="宋体" w:cs="宋体"/>
                <w:kern w:val="0"/>
                <w:sz w:val="21"/>
                <w:szCs w:val="21"/>
              </w:rPr>
            </w:pPr>
            <w:r>
              <w:rPr>
                <w:rFonts w:hint="eastAsia" w:ascii="宋体" w:hAnsi="宋体" w:eastAsia="宋体" w:cs="宋体"/>
                <w:kern w:val="0"/>
                <w:sz w:val="21"/>
                <w:szCs w:val="21"/>
              </w:rPr>
              <w:t xml:space="preserve"> 责任和权限的分配与再分配。</w:t>
            </w:r>
          </w:p>
          <w:p>
            <w:pPr>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0"/>
                <w:sz w:val="21"/>
                <w:szCs w:val="21"/>
              </w:rPr>
              <w:t>公司</w:t>
            </w:r>
            <w:r>
              <w:rPr>
                <w:rFonts w:hint="eastAsia" w:ascii="宋体" w:hAnsi="宋体" w:cs="宋体"/>
                <w:kern w:val="0"/>
                <w:sz w:val="21"/>
                <w:szCs w:val="21"/>
                <w:lang w:val="en-US" w:eastAsia="zh-CN"/>
              </w:rPr>
              <w:t>体系建立以来至</w:t>
            </w:r>
            <w:r>
              <w:rPr>
                <w:rFonts w:hint="eastAsia" w:ascii="宋体" w:hAnsi="宋体" w:eastAsia="宋体" w:cs="宋体"/>
                <w:kern w:val="0"/>
                <w:sz w:val="21"/>
                <w:szCs w:val="21"/>
              </w:rPr>
              <w:t>目前暂无</w:t>
            </w:r>
            <w:r>
              <w:rPr>
                <w:rFonts w:hint="eastAsia" w:ascii="宋体" w:hAnsi="宋体" w:cs="宋体"/>
                <w:kern w:val="0"/>
                <w:sz w:val="21"/>
                <w:szCs w:val="21"/>
                <w:lang w:val="en-US" w:eastAsia="zh-CN"/>
              </w:rPr>
              <w:t>发生</w:t>
            </w:r>
            <w:r>
              <w:rPr>
                <w:rFonts w:hint="eastAsia" w:ascii="宋体" w:hAnsi="宋体" w:eastAsia="宋体" w:cs="宋体"/>
                <w:kern w:val="0"/>
                <w:sz w:val="21"/>
                <w:szCs w:val="21"/>
              </w:rPr>
              <w:t>变更。</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资源提供</w:t>
            </w:r>
          </w:p>
        </w:tc>
        <w:tc>
          <w:tcPr>
            <w:tcW w:w="1141" w:type="dxa"/>
          </w:tcPr>
          <w:p>
            <w:pPr>
              <w:rPr>
                <w:rFonts w:hint="eastAsia"/>
                <w:lang w:val="en-US" w:eastAsia="zh-CN"/>
              </w:rPr>
            </w:pPr>
            <w:r>
              <w:rPr>
                <w:rFonts w:hint="eastAsia"/>
                <w:lang w:val="en-US" w:eastAsia="zh-CN"/>
              </w:rPr>
              <w:t>QEO7.1</w:t>
            </w:r>
          </w:p>
        </w:tc>
        <w:tc>
          <w:tcPr>
            <w:tcW w:w="9867"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查公司配备了必要的人力资源，基础设施，规范文件、资金等必要的资源，能够持续满足顾客需求和管理体系改进的需要。</w:t>
            </w:r>
          </w:p>
          <w:p>
            <w:pP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部门：物业部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质量部、</w:t>
            </w:r>
            <w:r>
              <w:rPr>
                <w:rFonts w:hint="eastAsia" w:ascii="宋体" w:hAnsi="宋体" w:cs="宋体"/>
                <w:kern w:val="0"/>
                <w:sz w:val="21"/>
                <w:szCs w:val="21"/>
                <w:lang w:val="en-US" w:eastAsia="zh-CN"/>
              </w:rPr>
              <w:t>工程</w:t>
            </w:r>
            <w:r>
              <w:rPr>
                <w:rFonts w:hint="eastAsia" w:ascii="宋体" w:hAnsi="宋体" w:eastAsia="宋体" w:cs="宋体"/>
                <w:kern w:val="0"/>
                <w:sz w:val="21"/>
                <w:szCs w:val="21"/>
                <w:lang w:val="en-US" w:eastAsia="zh-CN"/>
              </w:rPr>
              <w:t>部</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、综合部</w:t>
            </w:r>
            <w:r>
              <w:rPr>
                <w:rFonts w:hint="eastAsia" w:ascii="宋体" w:hAnsi="宋体" w:cs="宋体"/>
                <w:kern w:val="0"/>
                <w:sz w:val="21"/>
                <w:szCs w:val="21"/>
                <w:lang w:eastAsia="zh-CN"/>
              </w:rPr>
              <w:t>、</w:t>
            </w:r>
            <w:r>
              <w:rPr>
                <w:rFonts w:hint="eastAsia" w:ascii="宋体" w:hAnsi="宋体" w:cs="宋体"/>
                <w:kern w:val="0"/>
                <w:sz w:val="21"/>
                <w:szCs w:val="21"/>
                <w:lang w:val="en-US" w:eastAsia="zh-CN"/>
              </w:rPr>
              <w:t>财务部</w:t>
            </w:r>
          </w:p>
          <w:p>
            <w:pP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人员：物业管理人员、办公人员、物业管理服务人员</w:t>
            </w:r>
            <w:r>
              <w:rPr>
                <w:rFonts w:hint="eastAsia" w:ascii="宋体" w:hAnsi="宋体" w:cs="宋体"/>
                <w:kern w:val="0"/>
                <w:sz w:val="21"/>
                <w:szCs w:val="21"/>
                <w:lang w:eastAsia="zh-CN"/>
              </w:rPr>
              <w:t>；</w:t>
            </w:r>
            <w:r>
              <w:rPr>
                <w:rFonts w:hint="eastAsia" w:ascii="宋体" w:hAnsi="宋体" w:eastAsia="宋体" w:cs="宋体"/>
                <w:kern w:val="0"/>
                <w:sz w:val="21"/>
                <w:szCs w:val="21"/>
                <w:lang w:val="en-US" w:eastAsia="zh-CN"/>
              </w:rPr>
              <w:t>电梯维护、保安</w:t>
            </w:r>
            <w:r>
              <w:rPr>
                <w:rFonts w:hint="eastAsia" w:ascii="宋体" w:hAnsi="宋体" w:cs="宋体"/>
                <w:kern w:val="0"/>
                <w:sz w:val="21"/>
                <w:szCs w:val="21"/>
                <w:lang w:val="en-US" w:eastAsia="zh-CN"/>
              </w:rPr>
              <w:t>保洁外委。</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环境因素/</w:t>
            </w:r>
            <w:r>
              <w:rPr>
                <w:rFonts w:hint="default" w:ascii="Times New Roman" w:hAnsi="Times New Roman" w:eastAsia="宋体" w:cs="Times New Roman"/>
                <w:b w:val="0"/>
                <w:bCs/>
                <w:sz w:val="21"/>
                <w:szCs w:val="21"/>
              </w:rPr>
              <w:t>危险源辨识、风险评价</w:t>
            </w:r>
          </w:p>
        </w:tc>
        <w:tc>
          <w:tcPr>
            <w:tcW w:w="1141" w:type="dxa"/>
          </w:tcPr>
          <w:p>
            <w:pPr>
              <w:rPr>
                <w:rFonts w:hint="default"/>
                <w:lang w:val="en-US" w:eastAsia="zh-CN"/>
              </w:rPr>
            </w:pPr>
            <w:r>
              <w:rPr>
                <w:rFonts w:hint="eastAsia"/>
                <w:lang w:val="en-US" w:eastAsia="zh-CN"/>
              </w:rPr>
              <w:t>EO6.1.2</w:t>
            </w:r>
          </w:p>
        </w:tc>
        <w:tc>
          <w:tcPr>
            <w:tcW w:w="9867" w:type="dxa"/>
            <w:vAlign w:val="center"/>
          </w:tcPr>
          <w:p>
            <w:pPr>
              <w:rPr>
                <w:rFonts w:hint="eastAsia" w:ascii="宋体" w:hAnsi="宋体" w:eastAsia="宋体" w:cs="宋体"/>
                <w:kern w:val="0"/>
                <w:sz w:val="21"/>
                <w:szCs w:val="21"/>
                <w:lang w:val="en-US" w:eastAsia="zh-CN" w:bidi="ar-SA"/>
              </w:rPr>
            </w:pPr>
            <w:r>
              <w:rPr>
                <w:rFonts w:hint="eastAsia"/>
                <w:sz w:val="21"/>
                <w:szCs w:val="21"/>
                <w:lang w:val="en-US" w:eastAsia="zh-CN"/>
              </w:rPr>
              <w:t>公司建立了《</w:t>
            </w:r>
            <w:r>
              <w:rPr>
                <w:rFonts w:hint="eastAsia" w:ascii="宋体" w:hAnsi="宋体"/>
              </w:rPr>
              <w:t>环境因素识别与评价控制程序</w:t>
            </w:r>
            <w:r>
              <w:rPr>
                <w:rFonts w:hint="eastAsia"/>
                <w:sz w:val="21"/>
                <w:szCs w:val="21"/>
                <w:lang w:val="en-US" w:eastAsia="zh-CN"/>
              </w:rPr>
              <w:t>》和《</w:t>
            </w:r>
            <w:r>
              <w:rPr>
                <w:rFonts w:hint="eastAsia" w:ascii="宋体" w:hAnsi="宋体"/>
              </w:rPr>
              <w:t>危险源辨识、风险评价与控制措施的确定控制程序</w:t>
            </w:r>
            <w:r>
              <w:rPr>
                <w:rFonts w:hint="eastAsia"/>
                <w:sz w:val="21"/>
                <w:szCs w:val="21"/>
                <w:lang w:val="en-US" w:eastAsia="zh-CN"/>
              </w:rPr>
              <w:t>》对物业服务过程的环境因素和风险进行识别和辨识，确定了重要环境因素3项和不可接受风险3项。具体管控情况见综合部审核记录</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监视和测量总则</w:t>
            </w:r>
          </w:p>
        </w:tc>
        <w:tc>
          <w:tcPr>
            <w:tcW w:w="1141" w:type="dxa"/>
          </w:tcPr>
          <w:p>
            <w:pPr>
              <w:rPr>
                <w:rFonts w:hint="eastAsia"/>
                <w:lang w:val="en-US" w:eastAsia="zh-CN"/>
              </w:rPr>
            </w:pPr>
            <w:r>
              <w:rPr>
                <w:rFonts w:hint="eastAsia"/>
                <w:lang w:val="en-US" w:eastAsia="zh-CN"/>
              </w:rPr>
              <w:t>QEO</w:t>
            </w:r>
          </w:p>
          <w:p>
            <w:pPr>
              <w:rPr>
                <w:rFonts w:hint="default"/>
                <w:lang w:val="en-US" w:eastAsia="zh-CN"/>
              </w:rPr>
            </w:pPr>
            <w:r>
              <w:rPr>
                <w:rFonts w:hint="eastAsia"/>
                <w:lang w:val="en-US" w:eastAsia="zh-CN"/>
              </w:rPr>
              <w:t>9.1.1</w:t>
            </w:r>
          </w:p>
        </w:tc>
        <w:tc>
          <w:tcPr>
            <w:tcW w:w="9867" w:type="dxa"/>
            <w:vAlign w:val="top"/>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公司编制了《</w:t>
            </w:r>
            <w:r>
              <w:rPr>
                <w:rFonts w:hint="eastAsia" w:ascii="宋体" w:hAnsi="宋体"/>
              </w:rPr>
              <w:t>顾客投诉处理与满意度调查控制程序</w:t>
            </w:r>
            <w:r>
              <w:rPr>
                <w:rFonts w:hint="eastAsia" w:ascii="Times New Roman" w:hAnsi="Times New Roman" w:eastAsia="宋体" w:cs="Times New Roman"/>
                <w:b w:val="0"/>
                <w:bCs/>
                <w:sz w:val="21"/>
                <w:szCs w:val="21"/>
              </w:rPr>
              <w:t>》，对物业管理服务的质量特性进行监视和测量，以验证其符合要求的程度，确保服务符合要求。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公司制定《内部审核控制程序》 、《管理评审控制程序》 和《</w:t>
            </w:r>
            <w:r>
              <w:rPr>
                <w:rFonts w:hint="eastAsia" w:ascii="宋体" w:hAnsi="宋体"/>
              </w:rPr>
              <w:t>监视和测量</w:t>
            </w:r>
            <w:r>
              <w:rPr>
                <w:rFonts w:hint="eastAsia" w:ascii="宋体" w:hAnsi="宋体" w:cs="宋体"/>
              </w:rPr>
              <w:t>资源</w:t>
            </w:r>
            <w:r>
              <w:rPr>
                <w:rFonts w:hint="eastAsia" w:ascii="宋体" w:hAnsi="宋体"/>
              </w:rPr>
              <w:t>控制程序</w:t>
            </w:r>
            <w:r>
              <w:rPr>
                <w:rFonts w:hint="eastAsia" w:ascii="Times New Roman" w:hAnsi="Times New Roman" w:eastAsia="宋体" w:cs="Times New Roman"/>
                <w:b w:val="0"/>
                <w:bCs/>
                <w:sz w:val="21"/>
                <w:szCs w:val="21"/>
              </w:rPr>
              <w:t>》为保证公司质量</w:t>
            </w:r>
            <w:r>
              <w:rPr>
                <w:rFonts w:hint="eastAsia" w:ascii="Times New Roman" w:hAnsi="Times New Roman" w:cs="Times New Roman"/>
                <w:b w:val="0"/>
                <w:bCs/>
                <w:sz w:val="21"/>
                <w:szCs w:val="21"/>
                <w:lang w:val="en-US" w:eastAsia="zh-CN"/>
              </w:rPr>
              <w:t>环境和职业健康安全</w:t>
            </w:r>
            <w:r>
              <w:rPr>
                <w:rFonts w:hint="eastAsia" w:ascii="Times New Roman" w:hAnsi="Times New Roman" w:eastAsia="宋体" w:cs="Times New Roman"/>
                <w:b w:val="0"/>
                <w:bCs/>
                <w:sz w:val="21"/>
                <w:szCs w:val="21"/>
              </w:rPr>
              <w:t>管理体系的有效运行，通过对管理绩效的监视与测量，确保体系运行的有效性。</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查阅</w:t>
            </w:r>
            <w:r>
              <w:rPr>
                <w:rFonts w:hint="eastAsia" w:ascii="Times New Roman" w:hAnsi="Times New Roman" w:cs="Times New Roman"/>
                <w:b w:val="0"/>
                <w:bCs/>
                <w:sz w:val="21"/>
                <w:szCs w:val="21"/>
                <w:lang w:eastAsia="zh-CN"/>
              </w:rPr>
              <w:t>“目标指标完成情况考核记录202</w:t>
            </w:r>
            <w:r>
              <w:rPr>
                <w:rFonts w:hint="eastAsia" w:ascii="Times New Roman" w:hAnsi="Times New Roman" w:cs="Times New Roman"/>
                <w:b w:val="0"/>
                <w:bCs/>
                <w:sz w:val="21"/>
                <w:szCs w:val="21"/>
                <w:lang w:val="en-US" w:eastAsia="zh-CN"/>
              </w:rPr>
              <w:t>0</w:t>
            </w:r>
            <w:r>
              <w:rPr>
                <w:rFonts w:hint="eastAsia" w:ascii="Times New Roman" w:hAnsi="Times New Roman" w:cs="Times New Roman"/>
                <w:b w:val="0"/>
                <w:bCs/>
                <w:sz w:val="21"/>
                <w:szCs w:val="21"/>
                <w:lang w:eastAsia="zh-CN"/>
              </w:rPr>
              <w:t>”、</w:t>
            </w:r>
            <w:r>
              <w:rPr>
                <w:rFonts w:hint="eastAsia" w:ascii="Times New Roman" w:hAnsi="Times New Roman" w:eastAsia="宋体" w:cs="Times New Roman"/>
                <w:b w:val="0"/>
                <w:bCs/>
                <w:sz w:val="21"/>
                <w:szCs w:val="21"/>
              </w:rPr>
              <w:t>“目标指标完成情况考核记录2021”，</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提供管理目标指标的检查考核工作，均完成目标考核要求。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环境和职业健康安全运行管理检查情况：抽查20</w:t>
            </w:r>
            <w:r>
              <w:rPr>
                <w:rFonts w:hint="eastAsia" w:ascii="Times New Roman" w:hAnsi="Times New Roman" w:eastAsia="宋体" w:cs="Times New Roman"/>
                <w:b w:val="0"/>
                <w:bCs/>
                <w:sz w:val="21"/>
                <w:szCs w:val="21"/>
                <w:lang w:val="en-US" w:eastAsia="zh-CN"/>
              </w:rPr>
              <w:t>21</w:t>
            </w:r>
            <w:r>
              <w:rPr>
                <w:rFonts w:hint="eastAsia"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4</w:t>
            </w:r>
            <w:r>
              <w:rPr>
                <w:rFonts w:hint="eastAsia" w:ascii="Times New Roman" w:hAnsi="Times New Roman" w:eastAsia="宋体" w:cs="Times New Roman"/>
                <w:b w:val="0"/>
                <w:bCs/>
                <w:sz w:val="21"/>
                <w:szCs w:val="21"/>
              </w:rPr>
              <w:t>.30管理检查记录，主控部门：综合部，检查人：</w:t>
            </w:r>
            <w:r>
              <w:rPr>
                <w:rFonts w:hint="eastAsia" w:ascii="Times New Roman" w:hAnsi="Times New Roman" w:cs="Times New Roman"/>
                <w:b w:val="0"/>
                <w:bCs/>
                <w:sz w:val="21"/>
                <w:szCs w:val="21"/>
                <w:lang w:val="en-US" w:eastAsia="zh-CN"/>
              </w:rPr>
              <w:t>袁琳</w:t>
            </w:r>
            <w:r>
              <w:rPr>
                <w:rFonts w:hint="eastAsia" w:ascii="Times New Roman" w:hAnsi="Times New Roman" w:eastAsia="宋体" w:cs="Times New Roman"/>
                <w:b w:val="0"/>
                <w:bCs/>
                <w:sz w:val="21"/>
                <w:szCs w:val="21"/>
              </w:rPr>
              <w:t xml:space="preserve"> ，对固废收集、节约能源等方面进行检查、劳保用品发放、安全管理进行检查，一切正常。</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查公司为员工购买有养</w:t>
            </w:r>
            <w:r>
              <w:rPr>
                <w:rFonts w:hint="eastAsia" w:ascii="Times New Roman" w:hAnsi="Times New Roman" w:eastAsia="宋体" w:cs="Times New Roman"/>
                <w:b w:val="0"/>
                <w:bCs/>
                <w:sz w:val="21"/>
                <w:szCs w:val="21"/>
                <w:highlight w:val="none"/>
              </w:rPr>
              <w:t>老等保险，提供购买证据。</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外部对公司环境和安全管理要求一般口头交流；对供应商及客户等相关方有“相关方告知书”等。</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目前未发现公司违规现象。无被动性绩效的监视和测量。</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rPr>
              <w:t>公司不需要对环境影响的运行的关键特性和职业健康安全绩效进行监测和测量的设备。</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管理评审</w:t>
            </w:r>
          </w:p>
        </w:tc>
        <w:tc>
          <w:tcPr>
            <w:tcW w:w="1141" w:type="dxa"/>
          </w:tcPr>
          <w:p>
            <w:pPr>
              <w:rPr>
                <w:rFonts w:hint="eastAsia"/>
                <w:lang w:val="en-US" w:eastAsia="zh-CN"/>
              </w:rPr>
            </w:pPr>
            <w:r>
              <w:rPr>
                <w:rFonts w:hint="eastAsia"/>
                <w:lang w:val="en-US" w:eastAsia="zh-CN"/>
              </w:rPr>
              <w:t>QEO9.3</w:t>
            </w:r>
          </w:p>
        </w:tc>
        <w:tc>
          <w:tcPr>
            <w:tcW w:w="9867" w:type="dxa"/>
            <w:vAlign w:val="center"/>
          </w:tcPr>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提供：</w:t>
            </w:r>
            <w:bookmarkStart w:id="2" w:name="_GoBack"/>
            <w:bookmarkEnd w:id="2"/>
            <w:r>
              <w:rPr>
                <w:rFonts w:hint="eastAsia" w:ascii="Times New Roman" w:hAnsi="Times New Roman" w:eastAsia="宋体" w:cs="Times New Roman"/>
                <w:b w:val="0"/>
                <w:bCs/>
                <w:sz w:val="21"/>
                <w:szCs w:val="21"/>
              </w:rPr>
              <w:t>管理评审计划，</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评审时间：计划</w:t>
            </w:r>
            <w:r>
              <w:rPr>
                <w:rFonts w:hint="eastAsia"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2</w:t>
            </w:r>
            <w:r>
              <w:rPr>
                <w:rFonts w:hint="eastAsia"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5</w:t>
            </w:r>
            <w:r>
              <w:rPr>
                <w:rFonts w:hint="eastAsia"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14</w:t>
            </w:r>
            <w:r>
              <w:rPr>
                <w:rFonts w:hint="eastAsia" w:ascii="Times New Roman" w:hAnsi="Times New Roman" w:eastAsia="宋体" w:cs="Times New Roman"/>
                <w:b w:val="0"/>
                <w:bCs/>
                <w:sz w:val="21"/>
                <w:szCs w:val="21"/>
              </w:rPr>
              <w:t>进行，评审方式：会议评审，</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编制：</w:t>
            </w:r>
            <w:r>
              <w:rPr>
                <w:rFonts w:hint="eastAsia" w:ascii="Times New Roman" w:hAnsi="Times New Roman" w:eastAsia="宋体" w:cs="Times New Roman"/>
                <w:b w:val="0"/>
                <w:bCs/>
                <w:sz w:val="21"/>
                <w:szCs w:val="21"/>
                <w:lang w:val="en-US" w:eastAsia="zh-CN"/>
              </w:rPr>
              <w:t>行政</w:t>
            </w:r>
            <w:r>
              <w:rPr>
                <w:rFonts w:hint="eastAsia" w:ascii="Times New Roman" w:hAnsi="Times New Roman" w:eastAsia="宋体" w:cs="Times New Roman"/>
                <w:b w:val="0"/>
                <w:bCs/>
                <w:sz w:val="21"/>
                <w:szCs w:val="21"/>
              </w:rPr>
              <w:t xml:space="preserve">部 </w:t>
            </w:r>
            <w:r>
              <w:rPr>
                <w:rFonts w:hint="eastAsia" w:ascii="Times New Roman" w:hAnsi="Times New Roman" w:cs="Times New Roman"/>
                <w:b w:val="0"/>
                <w:bCs/>
                <w:sz w:val="21"/>
                <w:szCs w:val="21"/>
                <w:lang w:val="en-US" w:eastAsia="zh-CN"/>
              </w:rPr>
              <w:t>杨叶静</w:t>
            </w:r>
            <w:r>
              <w:rPr>
                <w:rFonts w:hint="eastAsia" w:ascii="Times New Roman" w:hAnsi="Times New Roman" w:eastAsia="宋体" w:cs="Times New Roman"/>
                <w:b w:val="0"/>
                <w:bCs/>
                <w:sz w:val="21"/>
                <w:szCs w:val="21"/>
              </w:rPr>
              <w:t xml:space="preserve">    审批：</w:t>
            </w:r>
            <w:r>
              <w:rPr>
                <w:rFonts w:hint="eastAsia" w:ascii="Times New Roman" w:hAnsi="Times New Roman" w:cs="Times New Roman"/>
                <w:b w:val="0"/>
                <w:bCs/>
                <w:sz w:val="21"/>
                <w:szCs w:val="21"/>
                <w:lang w:val="en-US" w:eastAsia="zh-CN"/>
              </w:rPr>
              <w:t>苏立峰</w:t>
            </w:r>
            <w:r>
              <w:rPr>
                <w:rFonts w:hint="eastAsia" w:ascii="Times New Roman" w:hAnsi="Times New Roman" w:eastAsia="宋体" w:cs="Times New Roman"/>
                <w:b w:val="0"/>
                <w:bCs/>
                <w:sz w:val="21"/>
                <w:szCs w:val="21"/>
              </w:rPr>
              <w:t xml:space="preserve">   编制日期： 20</w:t>
            </w:r>
            <w:r>
              <w:rPr>
                <w:rFonts w:hint="eastAsia" w:ascii="Times New Roman" w:hAnsi="Times New Roman" w:eastAsia="宋体" w:cs="Times New Roman"/>
                <w:b w:val="0"/>
                <w:bCs/>
                <w:sz w:val="21"/>
                <w:szCs w:val="21"/>
                <w:lang w:val="en-US" w:eastAsia="zh-CN"/>
              </w:rPr>
              <w:t>2</w:t>
            </w:r>
            <w:r>
              <w:rPr>
                <w:rFonts w:hint="eastAsia" w:ascii="Times New Roman" w:hAnsi="Times New Roman" w:cs="Times New Roman"/>
                <w:b w:val="0"/>
                <w:bCs/>
                <w:sz w:val="21"/>
                <w:szCs w:val="21"/>
                <w:lang w:val="en-US" w:eastAsia="zh-CN"/>
              </w:rPr>
              <w:t>2</w:t>
            </w:r>
            <w:r>
              <w:rPr>
                <w:rFonts w:hint="eastAsia" w:ascii="Times New Roman" w:hAnsi="Times New Roman" w:eastAsia="宋体" w:cs="Times New Roman"/>
                <w:b w:val="0"/>
                <w:bCs/>
                <w:sz w:val="21"/>
                <w:szCs w:val="21"/>
              </w:rPr>
              <w:t>年</w:t>
            </w:r>
            <w:r>
              <w:rPr>
                <w:rFonts w:hint="eastAsia" w:ascii="Times New Roman" w:hAnsi="Times New Roman" w:cs="Times New Roman"/>
                <w:b w:val="0"/>
                <w:bCs/>
                <w:sz w:val="21"/>
                <w:szCs w:val="21"/>
                <w:lang w:val="en-US" w:eastAsia="zh-CN"/>
              </w:rPr>
              <w:t>5</w:t>
            </w:r>
            <w:r>
              <w:rPr>
                <w:rFonts w:hint="eastAsia" w:ascii="Times New Roman" w:hAnsi="Times New Roman" w:eastAsia="宋体" w:cs="Times New Roman"/>
                <w:b w:val="0"/>
                <w:bCs/>
                <w:sz w:val="21"/>
                <w:szCs w:val="21"/>
              </w:rPr>
              <w:t>月</w:t>
            </w:r>
            <w:r>
              <w:rPr>
                <w:rFonts w:hint="eastAsia" w:ascii="Times New Roman" w:hAnsi="Times New Roman" w:cs="Times New Roman"/>
                <w:b w:val="0"/>
                <w:bCs/>
                <w:sz w:val="21"/>
                <w:szCs w:val="21"/>
                <w:lang w:val="en-US" w:eastAsia="zh-CN"/>
              </w:rPr>
              <w:t>12</w:t>
            </w:r>
            <w:r>
              <w:rPr>
                <w:rFonts w:hint="eastAsia" w:ascii="Times New Roman" w:hAnsi="Times New Roman" w:eastAsia="宋体" w:cs="Times New Roman"/>
                <w:b w:val="0"/>
                <w:bCs/>
                <w:sz w:val="21"/>
                <w:szCs w:val="21"/>
              </w:rPr>
              <w:t xml:space="preserve">日，   </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参加人员包括公司总经理、管理者代表、各部门负责人，</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计划中明确了评审内容和资料准备要求。</w:t>
            </w:r>
          </w:p>
          <w:p>
            <w:pP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管理评审内容：</w:t>
            </w:r>
          </w:p>
          <w:p>
            <w:pPr>
              <w:pStyle w:val="13"/>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rPr>
            </w:pPr>
            <w:r>
              <w:rPr>
                <w:rFonts w:hint="eastAsia" w:hAnsi="宋体"/>
                <w:color w:val="auto"/>
                <w:sz w:val="21"/>
                <w:szCs w:val="21"/>
              </w:rPr>
              <w:t>与质量、环境、职业健康安全管理体系相关的内外部因素</w:t>
            </w:r>
            <w:r>
              <w:rPr>
                <w:rFonts w:hint="eastAsia" w:hAnsi="宋体"/>
                <w:color w:val="auto"/>
                <w:sz w:val="21"/>
                <w:szCs w:val="21"/>
                <w:lang w:eastAsia="zh-CN"/>
              </w:rPr>
              <w:t>和问题</w:t>
            </w:r>
            <w:r>
              <w:rPr>
                <w:rFonts w:hint="eastAsia" w:hAnsi="宋体"/>
                <w:color w:val="auto"/>
                <w:sz w:val="21"/>
                <w:szCs w:val="21"/>
              </w:rPr>
              <w:t>的变化；</w:t>
            </w:r>
          </w:p>
          <w:p>
            <w:pPr>
              <w:pStyle w:val="13"/>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rPr>
            </w:pPr>
            <w:r>
              <w:rPr>
                <w:rFonts w:hint="eastAsia" w:hAnsi="宋体"/>
                <w:color w:val="auto"/>
                <w:sz w:val="21"/>
                <w:szCs w:val="21"/>
                <w:lang w:eastAsia="zh-CN"/>
              </w:rPr>
              <w:t>相关方的需求和期望，包括合规义务；</w:t>
            </w:r>
          </w:p>
          <w:p>
            <w:pPr>
              <w:pStyle w:val="13"/>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rPr>
            </w:pPr>
            <w:r>
              <w:rPr>
                <w:rFonts w:hint="eastAsia" w:hAnsi="宋体"/>
                <w:color w:val="auto"/>
                <w:sz w:val="21"/>
                <w:szCs w:val="21"/>
                <w:lang w:eastAsia="zh-CN"/>
              </w:rPr>
              <w:t>其重要环境因素和不可接受风险；</w:t>
            </w:r>
          </w:p>
          <w:p>
            <w:pPr>
              <w:pStyle w:val="13"/>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rPr>
            </w:pPr>
            <w:r>
              <w:rPr>
                <w:rFonts w:hint="eastAsia" w:hAnsi="宋体"/>
                <w:color w:val="auto"/>
                <w:sz w:val="21"/>
                <w:szCs w:val="21"/>
                <w:lang w:eastAsia="zh-CN"/>
              </w:rPr>
              <w:t>风险和机遇。</w:t>
            </w:r>
          </w:p>
          <w:p>
            <w:pPr>
              <w:pStyle w:val="13"/>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rPr>
            </w:pPr>
            <w:r>
              <w:rPr>
                <w:rFonts w:hint="eastAsia" w:hAnsi="宋体"/>
                <w:color w:val="auto"/>
                <w:sz w:val="21"/>
                <w:szCs w:val="21"/>
                <w:lang w:eastAsia="zh-CN"/>
              </w:rPr>
              <w:t>客观环境的变化，包括与质量</w:t>
            </w:r>
            <w:r>
              <w:rPr>
                <w:rFonts w:hint="eastAsia" w:hAnsi="宋体"/>
                <w:color w:val="auto"/>
                <w:sz w:val="21"/>
                <w:szCs w:val="21"/>
              </w:rPr>
              <w:t>、环境、职业健康安全管理体系相关</w:t>
            </w:r>
            <w:r>
              <w:rPr>
                <w:rFonts w:hint="eastAsia" w:hAnsi="宋体"/>
                <w:color w:val="auto"/>
                <w:sz w:val="21"/>
                <w:szCs w:val="21"/>
                <w:lang w:eastAsia="zh-CN"/>
              </w:rPr>
              <w:t>的法律法规和其他要求的发展。</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顾客满意和相关方的反馈；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管理目标的实现程度；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过程绩效以及产品和服务的符合性；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lang w:eastAsia="zh-CN"/>
              </w:rPr>
              <w:t>事件调查、</w:t>
            </w:r>
            <w:r>
              <w:rPr>
                <w:rFonts w:hint="eastAsia" w:hAnsi="宋体"/>
                <w:color w:val="auto"/>
                <w:sz w:val="21"/>
                <w:szCs w:val="21"/>
              </w:rPr>
              <w:t>不合格、纠正措施及</w:t>
            </w:r>
            <w:r>
              <w:rPr>
                <w:rFonts w:hint="eastAsia" w:hAnsi="宋体"/>
                <w:color w:val="auto"/>
                <w:sz w:val="21"/>
                <w:szCs w:val="21"/>
                <w:lang w:eastAsia="zh-CN"/>
              </w:rPr>
              <w:t>其</w:t>
            </w:r>
            <w:r>
              <w:rPr>
                <w:rFonts w:hint="eastAsia" w:hAnsi="宋体"/>
                <w:color w:val="auto"/>
                <w:sz w:val="21"/>
                <w:szCs w:val="21"/>
              </w:rPr>
              <w:t xml:space="preserve">合规性义务履行情况；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监视和测量结果及审核结果；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外部供方的绩效。 </w:t>
            </w:r>
          </w:p>
          <w:p>
            <w:pPr>
              <w:keepNext w:val="0"/>
              <w:keepLines w:val="0"/>
              <w:pageBreakBefore w:val="0"/>
              <w:widowControl w:val="0"/>
              <w:kinsoku/>
              <w:wordWrap/>
              <w:overflowPunct/>
              <w:topLinePunct w:val="0"/>
              <w:autoSpaceDE/>
              <w:autoSpaceDN/>
              <w:bidi w:val="0"/>
              <w:adjustRightInd/>
              <w:snapToGrid/>
              <w:spacing w:line="260" w:lineRule="exact"/>
              <w:ind w:right="0" w:rightChars="0"/>
              <w:textAlignment w:val="auto"/>
              <w:outlineLvl w:val="9"/>
              <w:rPr>
                <w:rFonts w:hint="eastAsia" w:hAnsi="宋体"/>
                <w:color w:val="auto"/>
                <w:sz w:val="21"/>
                <w:szCs w:val="21"/>
                <w:lang w:eastAsia="zh-CN"/>
              </w:rPr>
            </w:pPr>
            <w:r>
              <w:rPr>
                <w:rFonts w:hAnsi="宋体"/>
                <w:color w:val="auto"/>
                <w:sz w:val="21"/>
                <w:szCs w:val="21"/>
              </w:rPr>
              <w:t>参与和协商的结果</w:t>
            </w:r>
            <w:r>
              <w:rPr>
                <w:rFonts w:hint="eastAsia" w:hAnsi="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60" w:lineRule="exact"/>
              <w:ind w:right="0" w:rightChars="0"/>
              <w:textAlignment w:val="auto"/>
              <w:outlineLvl w:val="9"/>
              <w:rPr>
                <w:rFonts w:hint="eastAsia" w:ascii="宋体" w:hAnsi="宋体"/>
                <w:color w:val="auto"/>
                <w:sz w:val="21"/>
                <w:szCs w:val="21"/>
              </w:rPr>
            </w:pPr>
            <w:r>
              <w:rPr>
                <w:rFonts w:hint="eastAsia" w:hAnsi="宋体"/>
                <w:color w:val="auto"/>
                <w:sz w:val="21"/>
                <w:szCs w:val="21"/>
                <w:lang w:eastAsia="zh-CN"/>
              </w:rPr>
              <w:t>来自相关方的有关信息交流，包括抱怨、投诉。</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资源的充分性； </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应对风险和机遇所采取措施的有效性（见6.1）；</w:t>
            </w:r>
          </w:p>
          <w:p>
            <w:pPr>
              <w:pStyle w:val="13"/>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hAnsi="宋体"/>
                <w:color w:val="auto"/>
                <w:sz w:val="21"/>
                <w:szCs w:val="21"/>
              </w:rPr>
            </w:pPr>
            <w:r>
              <w:rPr>
                <w:rFonts w:hint="eastAsia" w:hAnsi="宋体"/>
                <w:color w:val="auto"/>
                <w:sz w:val="21"/>
                <w:szCs w:val="21"/>
              </w:rPr>
              <w:t xml:space="preserve">改进的机会。 </w:t>
            </w:r>
          </w:p>
          <w:p>
            <w:pPr>
              <w:rPr>
                <w:rFonts w:hint="eastAsia"/>
                <w:color w:val="auto"/>
                <w:sz w:val="21"/>
                <w:szCs w:val="21"/>
              </w:rPr>
            </w:pPr>
            <w:r>
              <w:rPr>
                <w:rFonts w:hint="eastAsia"/>
                <w:color w:val="auto"/>
                <w:sz w:val="21"/>
                <w:szCs w:val="21"/>
              </w:rPr>
              <w:t>具体内容由责任部门或人员按职责分工负责收集和提供。</w:t>
            </w:r>
          </w:p>
          <w:p>
            <w:pPr>
              <w:rPr>
                <w:rFonts w:hint="eastAsia"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查看</w:t>
            </w:r>
            <w:r>
              <w:rPr>
                <w:rFonts w:hint="eastAsia" w:ascii="Times New Roman" w:hAnsi="Times New Roman" w:eastAsia="宋体" w:cs="Times New Roman"/>
                <w:b w:val="0"/>
                <w:bCs/>
                <w:sz w:val="21"/>
                <w:szCs w:val="21"/>
              </w:rPr>
              <w:t>管理评审报告，</w:t>
            </w:r>
            <w:r>
              <w:rPr>
                <w:rFonts w:hint="eastAsia" w:ascii="Times New Roman" w:hAnsi="Times New Roman" w:cs="Times New Roman"/>
                <w:b w:val="0"/>
                <w:bCs/>
                <w:sz w:val="21"/>
                <w:szCs w:val="21"/>
                <w:lang w:val="en-US" w:eastAsia="zh-CN"/>
              </w:rPr>
              <w:t>2022年5月12日实施评审，</w:t>
            </w:r>
            <w:r>
              <w:rPr>
                <w:rFonts w:hint="eastAsia" w:ascii="Times New Roman" w:hAnsi="Times New Roman" w:eastAsia="宋体" w:cs="Times New Roman"/>
                <w:b w:val="0"/>
                <w:bCs/>
                <w:sz w:val="21"/>
                <w:szCs w:val="21"/>
              </w:rPr>
              <w:t>管理评审结论：</w:t>
            </w:r>
            <w:r>
              <w:rPr>
                <w:rFonts w:hint="eastAsia" w:ascii="Times New Roman" w:hAnsi="Times New Roman" w:eastAsia="宋体" w:cs="Times New Roman"/>
                <w:b w:val="0"/>
                <w:bCs/>
                <w:sz w:val="21"/>
                <w:szCs w:val="21"/>
                <w:lang w:val="en-US" w:eastAsia="zh-CN"/>
              </w:rPr>
              <w:t>公司的一体化管理体系现状对变化的环境具备了一定的适宜性和有效性，在运行过程中起了良好的效果，被证明是充分、有效的、希望全体员工继续努力，实现公司质量管理体系的持续改进。</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rPr>
              <w:t>改进计划，</w:t>
            </w:r>
            <w:r>
              <w:rPr>
                <w:rFonts w:hint="eastAsia" w:ascii="Times New Roman" w:hAnsi="Times New Roman" w:cs="Times New Roman"/>
                <w:color w:val="auto"/>
                <w:sz w:val="21"/>
                <w:szCs w:val="21"/>
                <w:lang w:eastAsia="zh-CN"/>
              </w:rPr>
              <w:t>加强对物业部人员的服务规范和作业规范的培训。</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总则；持续改进</w:t>
            </w:r>
          </w:p>
        </w:tc>
        <w:tc>
          <w:tcPr>
            <w:tcW w:w="1141" w:type="dxa"/>
          </w:tcPr>
          <w:p>
            <w:pPr>
              <w:rPr>
                <w:rFonts w:hint="eastAsia"/>
                <w:lang w:val="en-US" w:eastAsia="zh-CN"/>
              </w:rPr>
            </w:pPr>
            <w:r>
              <w:rPr>
                <w:rFonts w:hint="eastAsia"/>
                <w:lang w:val="en-US" w:eastAsia="zh-CN"/>
              </w:rPr>
              <w:t>QEO</w:t>
            </w:r>
          </w:p>
          <w:p>
            <w:pPr>
              <w:rPr>
                <w:rFonts w:hint="default"/>
                <w:lang w:val="en-US" w:eastAsia="zh-CN"/>
              </w:rPr>
            </w:pPr>
            <w:r>
              <w:rPr>
                <w:rFonts w:hint="eastAsia"/>
                <w:lang w:val="en-US" w:eastAsia="zh-CN"/>
              </w:rPr>
              <w:t>10.1/10.3</w:t>
            </w:r>
          </w:p>
        </w:tc>
        <w:tc>
          <w:tcPr>
            <w:tcW w:w="9867" w:type="dxa"/>
            <w:vAlign w:val="center"/>
          </w:tcPr>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综合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公司组织确定并选择改进机会，采取必要措施，满足顾客要求和增强顾客满意。</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包括：改进服务，以满足要求并关注未来的需求和期望；纠正或减少不利影响；改进管理体系绩效和有效性。</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对以下方面所需的监视、测量、分析和改进过程进行策划和实施：</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证实服务满足规定的要求；确保管理体系的符合性；持续改进管理体系的有效性。</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根据不同过程、不同产品和不同要求，采取不同的方法进行监视、测量和分析。</w:t>
            </w:r>
          </w:p>
          <w:p>
            <w:pPr>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公司利用管理方针、目标、内审和外审、数据分析、纠正和预防措施以及管理评审，识别任何改进的机会，持续改进管理体系的适宜性、充分性和有效性。详见相关条款审核记录。</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324" w:type="dxa"/>
          </w:tcPr>
          <w:p>
            <w:pPr>
              <w:rPr>
                <w:rFonts w:hint="default" w:ascii="Times New Roman" w:hAnsi="Times New Roman" w:eastAsia="宋体" w:cs="Times New Roman"/>
                <w:b w:val="0"/>
                <w:bCs/>
                <w:sz w:val="21"/>
                <w:szCs w:val="21"/>
              </w:rPr>
            </w:pPr>
            <w:r>
              <w:rPr>
                <w:rFonts w:hint="eastAsia"/>
                <w:sz w:val="21"/>
                <w:szCs w:val="21"/>
              </w:rPr>
              <w:t>对一阶段问题整改情况</w:t>
            </w:r>
            <w:r>
              <w:rPr>
                <w:rFonts w:hint="eastAsia" w:ascii="Times New Roman" w:hAnsi="Times New Roman" w:eastAsia="宋体" w:cs="Times New Roman"/>
                <w:b w:val="0"/>
                <w:bCs/>
                <w:kern w:val="2"/>
                <w:sz w:val="21"/>
                <w:szCs w:val="21"/>
                <w:lang w:val="en-US" w:eastAsia="zh-CN" w:bidi="ar-SA"/>
              </w:rPr>
              <w:t>的确认；标准/规范/法规的执行情况;质量投诉/环境安全事故事件及起处理情况，监督抽查情况等</w:t>
            </w:r>
          </w:p>
        </w:tc>
        <w:tc>
          <w:tcPr>
            <w:tcW w:w="1141" w:type="dxa"/>
          </w:tcPr>
          <w:p>
            <w:pPr>
              <w:rPr>
                <w:rFonts w:hint="eastAsia"/>
                <w:lang w:val="en-US" w:eastAsia="zh-CN"/>
              </w:rPr>
            </w:pPr>
          </w:p>
        </w:tc>
        <w:tc>
          <w:tcPr>
            <w:tcW w:w="9867" w:type="dxa"/>
            <w:vAlign w:val="top"/>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对一阶段问题整改情况</w:t>
            </w:r>
            <w:r>
              <w:rPr>
                <w:rFonts w:hint="eastAsia" w:ascii="Times New Roman" w:hAnsi="Times New Roman" w:cs="Times New Roman"/>
                <w:sz w:val="21"/>
                <w:szCs w:val="21"/>
                <w:lang w:val="en-US" w:eastAsia="zh-CN"/>
              </w:rPr>
              <w:t>的确认；一阶段未提出问题。</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标准/规范/法规的执行情况;法律法规执行情况良好，但法律法归识别上还有缺失，已出具不符合。</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质量投诉/环境安全事故事件及起处理情况:无客户投诉，无安全事故和环境污染事故。</w:t>
            </w:r>
          </w:p>
          <w:p>
            <w:pPr>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sz w:val="21"/>
                <w:szCs w:val="21"/>
                <w:lang w:val="en-US" w:eastAsia="zh-CN"/>
              </w:rPr>
              <w:t>监督抽查情况:没有被监督抽查。</w:t>
            </w:r>
          </w:p>
        </w:tc>
        <w:tc>
          <w:tcPr>
            <w:tcW w:w="13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2F1F68"/>
    <w:rsid w:val="16935CD9"/>
    <w:rsid w:val="43233A23"/>
    <w:rsid w:val="7FAD5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2022-06-10T04:07:39Z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2052-11.1.0.10314</vt:lpwstr>
  </property>
</Properties>
</file>