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0742-2022-Q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四川卓电水泥制品制造有限公司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2022年06月04日 上午至2022年06月04日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sz w:val="21"/>
                <w:szCs w:val="21"/>
                <w:lang w:val="en-US" w:eastAsia="zh-CN"/>
              </w:rPr>
              <w:t>雅安市雨城区草坝镇工业园区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tc>
        <w:tc>
          <w:tcPr>
            <w:tcW w:w="1140" w:type="dxa"/>
            <w:vAlign w:val="center"/>
          </w:tcPr>
          <w:p>
            <w:pPr>
              <w:spacing w:line="240" w:lineRule="exact"/>
              <w:jc w:val="center"/>
              <w:rPr>
                <w:b/>
                <w:color w:val="000000"/>
                <w:szCs w:val="21"/>
              </w:rPr>
            </w:pPr>
            <w:r>
              <w:rPr>
                <w:b/>
                <w:color w:val="000000"/>
                <w:szCs w:val="21"/>
              </w:rPr>
              <w:t>16.02.01,16.02.06</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四川卓电水泥制品制造有限公司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雅安市雨城区熊猫大道388号拓海第一江岸6-1-1-3号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sz w:val="21"/>
                <w:szCs w:val="21"/>
                <w:lang w:val="en-US" w:eastAsia="zh-CN"/>
              </w:rPr>
              <w:t>雅安市雨城区草坝镇工业园区</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625000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刘召</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13722979099</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张轩纬</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刘召</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3" w:name="审核范围"/>
            <w:r>
              <w:t>水泥电杆及水泥制品的生产</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配料→搅拌→骨架制作→装模浇灌→离心成型→自然养护→脱模→成品检验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水泥电杆及水泥制品的生产</w:t>
            </w:r>
          </w:p>
        </w:tc>
        <w:tc>
          <w:tcPr>
            <w:tcW w:w="2006" w:type="dxa"/>
            <w:gridSpan w:val="3"/>
            <w:vAlign w:val="center"/>
          </w:tcPr>
          <w:p>
            <w:pPr>
              <w:spacing w:line="400" w:lineRule="exact"/>
              <w:rPr>
                <w:rFonts w:ascii="宋体" w:hAnsi="宋体"/>
                <w:b/>
                <w:color w:val="000000"/>
                <w:szCs w:val="21"/>
              </w:rPr>
            </w:pPr>
            <w:bookmarkStart w:id="34" w:name="专业代码"/>
            <w:r>
              <w:t>16.02.01;16.02.06</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四川卓电水泥制品制造有限公司</w:t>
            </w:r>
            <w:r>
              <w:rPr>
                <w:rFonts w:hint="eastAsia"/>
                <w:sz w:val="21"/>
                <w:szCs w:val="21"/>
                <w:lang w:val="en-US" w:eastAsia="zh-CN"/>
              </w:rPr>
              <w:t>/</w:t>
            </w:r>
            <w:r>
              <w:rPr>
                <w:sz w:val="21"/>
                <w:szCs w:val="21"/>
              </w:rPr>
              <w:t>雅安市雨城区熊猫大道388号拓海第一江岸6-1-1-3号</w:t>
            </w:r>
          </w:p>
        </w:tc>
        <w:tc>
          <w:tcPr>
            <w:tcW w:w="2267" w:type="dxa"/>
          </w:tcPr>
          <w:p>
            <w:pPr>
              <w:spacing w:before="40" w:after="40"/>
              <w:rPr>
                <w:rFonts w:eastAsia="黑体"/>
                <w:szCs w:val="21"/>
                <w:lang w:val="de-DE" w:eastAsia="ja-JP"/>
              </w:rPr>
            </w:pPr>
            <w:r>
              <w:rPr>
                <w:rFonts w:hint="eastAsia"/>
                <w:sz w:val="21"/>
                <w:szCs w:val="21"/>
                <w:lang w:val="en-US" w:eastAsia="zh-CN"/>
              </w:rPr>
              <w:t>雅安市雨城区草坝镇工业园区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17</w:t>
            </w:r>
          </w:p>
        </w:tc>
        <w:tc>
          <w:tcPr>
            <w:tcW w:w="2803" w:type="dxa"/>
            <w:vAlign w:val="center"/>
          </w:tcPr>
          <w:p>
            <w:pPr>
              <w:pStyle w:val="19"/>
              <w:rPr>
                <w:rFonts w:eastAsia="黑体" w:cs="Arial"/>
                <w:sz w:val="21"/>
                <w:szCs w:val="21"/>
                <w:lang w:val="en-US" w:eastAsia="ja-JP"/>
              </w:rPr>
            </w:pPr>
            <w:r>
              <w:t>水泥电杆及水泥制品的生产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2022年1月25日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2022年5月8日-9日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2022年5月22</w:t>
            </w:r>
            <w:bookmarkStart w:id="36" w:name="_GoBack"/>
            <w:bookmarkEnd w:id="36"/>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eastAsia="zh-CN"/>
              </w:rPr>
              <w:t>离心、蒸养、钢筋骨架焊接过程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2022-06-0</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水泥电杆及水泥制品的生产</w:t>
            </w:r>
          </w:p>
        </w:tc>
        <w:tc>
          <w:tcPr>
            <w:tcW w:w="1541" w:type="dxa"/>
            <w:vAlign w:val="center"/>
          </w:tcPr>
          <w:p>
            <w:pPr>
              <w:spacing w:line="400" w:lineRule="exact"/>
              <w:rPr>
                <w:rFonts w:ascii="宋体" w:hAnsi="宋体"/>
                <w:b/>
                <w:color w:val="000000"/>
                <w:szCs w:val="21"/>
              </w:rPr>
            </w:pPr>
            <w:r>
              <w:t>16.02.01;16.02.06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华文楷体" w:eastAsia="宋体"/>
          <w:b/>
          <w:sz w:val="22"/>
          <w:szCs w:val="22"/>
          <w:lang w:eastAsia="zh-CN"/>
        </w:rPr>
        <w:drawing>
          <wp:anchor distT="0" distB="0" distL="114300" distR="114300" simplePos="0" relativeHeight="251663360" behindDoc="0" locked="0" layoutInCell="1" allowOverlap="1">
            <wp:simplePos x="0" y="0"/>
            <wp:positionH relativeFrom="column">
              <wp:posOffset>3737610</wp:posOffset>
            </wp:positionH>
            <wp:positionV relativeFrom="paragraph">
              <wp:posOffset>282575</wp:posOffset>
            </wp:positionV>
            <wp:extent cx="516890" cy="397510"/>
            <wp:effectExtent l="0" t="0" r="1270" b="13970"/>
            <wp:wrapNone/>
            <wp:docPr id="25" name="图片 25" descr="f7f2bdfda7e398e33a12e6dc897ac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7f2bdfda7e398e33a12e6dc897ac1a"/>
                    <pic:cNvPicPr>
                      <a:picLocks noChangeAspect="1"/>
                    </pic:cNvPicPr>
                  </pic:nvPicPr>
                  <pic:blipFill>
                    <a:blip r:embed="rId6"/>
                    <a:stretch>
                      <a:fillRect/>
                    </a:stretch>
                  </pic:blipFill>
                  <pic:spPr>
                    <a:xfrm>
                      <a:off x="0" y="0"/>
                      <a:ext cx="516890" cy="39751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1711325</wp:posOffset>
            </wp:positionH>
            <wp:positionV relativeFrom="paragraph">
              <wp:posOffset>324485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2022年6月4日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763270</wp:posOffset>
                  </wp:positionH>
                  <wp:positionV relativeFrom="paragraph">
                    <wp:posOffset>38735</wp:posOffset>
                  </wp:positionV>
                  <wp:extent cx="544830" cy="248920"/>
                  <wp:effectExtent l="0" t="0" r="3810" b="1016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b/>
                <w:color w:val="000000"/>
                <w:szCs w:val="21"/>
                <w:lang w:val="en-US"/>
              </w:rPr>
            </w:pPr>
            <w:r>
              <w:rPr>
                <w:rFonts w:hint="eastAsia"/>
                <w:b/>
                <w:color w:val="000000"/>
                <w:szCs w:val="21"/>
              </w:rPr>
              <w:t>日期：</w:t>
            </w:r>
            <w:r>
              <w:rPr>
                <w:rFonts w:hint="eastAsia"/>
                <w:b/>
                <w:color w:val="000000"/>
                <w:szCs w:val="21"/>
                <w:lang w:val="en-US" w:eastAsia="zh-CN"/>
              </w:rPr>
              <w:t>2022年6月4日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2022年6月4日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568960</wp:posOffset>
                  </wp:positionH>
                  <wp:positionV relativeFrom="paragraph">
                    <wp:posOffset>68580</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2022年6月4日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39325384"/>
    <w:rsid w:val="39CC3A0E"/>
    <w:rsid w:val="4EA23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3913</Words>
  <Characters>4499</Characters>
  <Lines>67</Lines>
  <Paragraphs>18</Paragraphs>
  <TotalTime>0</TotalTime>
  <ScaleCrop>false</ScaleCrop>
  <LinksUpToDate>false</LinksUpToDate>
  <CharactersWithSpaces>4570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2022-06-05T01:23:17Z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