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江西慧通科技发展有限责任公司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0351-2021-QEO-2022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江西省南昌市红谷滩区庐山南大道369号南昌铜锣湾广场写字楼-1401室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江西省南昌市红谷滩区庐山南大道369号南昌铜锣湾广场写字楼1408室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曾明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0791-83506195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13767131288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Q：智能交通系统软件的开发、设计、维护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E：智能交通系统软件的开发、设计、维护所涉及场所的相关环境管理活动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O：智能交通系统软件的开发、设计、维护所涉及场所的相关职业健康安全管理活动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Q：33.02.01;33.02.04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E：33.02.01;33.02.04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O：33.02.01;33.02.04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tbl>
            <w:tblPr>
              <w:tblStyle w:val="7"/>
              <w:tblW w:w="1037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8"/>
              <w:gridCol w:w="3465"/>
              <w:gridCol w:w="32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napToGrid w:val="0"/>
                    <w:spacing w:line="240" w:lineRule="auto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部门</w:t>
                  </w:r>
                </w:p>
              </w:tc>
              <w:tc>
                <w:tcPr>
                  <w:tcW w:w="3465" w:type="dxa"/>
                  <w:vAlign w:val="center"/>
                </w:tcPr>
                <w:p>
                  <w:pPr>
                    <w:snapToGrid w:val="0"/>
                    <w:spacing w:line="240" w:lineRule="auto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过程</w:t>
                  </w:r>
                </w:p>
              </w:tc>
              <w:tc>
                <w:tcPr>
                  <w:tcW w:w="3297" w:type="dxa"/>
                  <w:vAlign w:val="center"/>
                </w:tcPr>
                <w:p>
                  <w:pPr>
                    <w:snapToGrid w:val="0"/>
                    <w:spacing w:line="240" w:lineRule="auto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涉及条款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  <w:jc w:val="center"/>
              </w:trPr>
              <w:tc>
                <w:tcPr>
                  <w:tcW w:w="7650" w:type="dxa"/>
                  <w:gridSpan w:val="3"/>
                </w:tcPr>
                <w:p>
                  <w:pPr>
                    <w:spacing w:line="240" w:lineRule="auto"/>
                    <w:jc w:val="center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首次会议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6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240" w:lineRule="auto"/>
                    <w:jc w:val="left"/>
                    <w:rPr>
                      <w:rFonts w:hint="eastAsia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  <w:t>管理层</w:t>
                  </w:r>
                </w:p>
                <w:p>
                  <w:pPr>
                    <w:pStyle w:val="2"/>
                    <w:spacing w:line="240" w:lineRule="auto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  <w:t>安全事务代表</w:t>
                  </w:r>
                </w:p>
              </w:tc>
              <w:tc>
                <w:tcPr>
                  <w:tcW w:w="6762" w:type="dxa"/>
                  <w:gridSpan w:val="2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A在B的指导下审核Q条款：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QEO：4.1理解组织及其环境、4.2理解相关方的需求和期望、4.3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O：5.4协商与参与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  <w:lang w:val="en-US" w:eastAsia="zh-CN"/>
                    </w:rPr>
                    <w:t>Q：6.3变更的策划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textAlignment w:val="auto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  <w:lang w:val="en-US" w:eastAsia="zh-CN"/>
                    </w:rPr>
                    <w:t>标准/规范/法规的执行情况、上次审核不符合项的验证、认证证书、标志的使用情况、投诉或事故、监督抽查情况、体系变动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6" w:hRule="atLeast"/>
                <w:jc w:val="center"/>
              </w:trPr>
              <w:tc>
                <w:tcPr>
                  <w:tcW w:w="888" w:type="dxa"/>
                  <w:vAlign w:val="center"/>
                </w:tcPr>
                <w:p>
                  <w:pPr>
                    <w:spacing w:line="240" w:lineRule="auto"/>
                    <w:jc w:val="left"/>
                    <w:rPr>
                      <w:rFonts w:hint="default" w:ascii="宋体" w:hAnsi="宋体" w:eastAsia="宋体" w:cs="Times New Roman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综合部</w:t>
                  </w:r>
                </w:p>
              </w:tc>
              <w:tc>
                <w:tcPr>
                  <w:tcW w:w="6762" w:type="dxa"/>
                  <w:gridSpan w:val="2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A在C的指导下审核Q条款：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QMS：5.3组织的岗位、职责和权限、6.2质量目标、7.1.2人员、7.2能力、7.3意识、7.1.3基础设施、7.1.4运行环境、7.1.6组织知识、7.5形成文件的信息、8.4外部提供过程、产品和服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务的控制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9.1.1监视、测量、分析和评价总则、9.1.3分析与评价、9.2内部审核、10.2不合格和纠正措施；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EO：5.3组织的岗位、职责和权限、6.1.2环境因素/危险源辨识与评价识别与评价、6.1.4控制措施的策划、6.2环境/职业健康安全目标及实现目标措施的策划、6.1.3合规义务、9.1.2合规性评价、7.1资源、7.2能力、7.3意识、7.5形成文件的信息、8.1运行策划和控制、8.2应急准备和响应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val="en-US"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9.1.1监视、测量、分析和评价总则、9.2内部审核、10.2不符合/事件和纠正措施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88" w:type="dxa"/>
                  <w:vAlign w:val="top"/>
                </w:tcPr>
                <w:p>
                  <w:pPr>
                    <w:spacing w:line="240" w:lineRule="auto"/>
                    <w:jc w:val="left"/>
                    <w:rPr>
                      <w:rFonts w:hint="eastAsia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项目拓展部</w:t>
                  </w:r>
                </w:p>
              </w:tc>
              <w:tc>
                <w:tcPr>
                  <w:tcW w:w="6762" w:type="dxa"/>
                  <w:gridSpan w:val="2"/>
                  <w:vAlign w:val="top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A在C的指导下审核Q条款：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QMS：5.3组织的岗位、职责和权限、6.2质量目标、8.2产品和服务的要求、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9.1.2顾客满意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E/O:5.3组织的岗位、职责和权限、6.2环境/职业健康安全目标、6.1.2环境因素/危险源的识别与评价、6.1.4措施的策划、8.1运行策划和控制、8.2应急准备和响应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888" w:type="dxa"/>
                  <w:vAlign w:val="top"/>
                </w:tcPr>
                <w:p>
                  <w:pPr>
                    <w:spacing w:line="240" w:lineRule="auto"/>
                    <w:jc w:val="left"/>
                    <w:rPr>
                      <w:rFonts w:hint="eastAsia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稽核结算部</w:t>
                  </w:r>
                </w:p>
              </w:tc>
              <w:tc>
                <w:tcPr>
                  <w:tcW w:w="6762" w:type="dxa"/>
                  <w:gridSpan w:val="2"/>
                  <w:vAlign w:val="top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A在C的指导下审核：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Q:5.3组织的岗位、职责和权限、6.2质量目标、8.5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.5交付后活动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E/O:5.3组织的岗位、职责和权限、6.2环境/职业健康安全目标、6.1.2环境因素/危险源的识别与评价、6.1.4措施的策划、8.1运行策划和控制、8.2应急准备和响应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6" w:hRule="atLeast"/>
                <w:jc w:val="center"/>
              </w:trPr>
              <w:tc>
                <w:tcPr>
                  <w:tcW w:w="888" w:type="dxa"/>
                  <w:vAlign w:val="top"/>
                </w:tcPr>
                <w:p>
                  <w:pPr>
                    <w:spacing w:line="240" w:lineRule="auto"/>
                    <w:jc w:val="left"/>
                    <w:rPr>
                      <w:rFonts w:hint="eastAsia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sz w:val="21"/>
                      <w:szCs w:val="21"/>
                      <w:lang w:val="en-US" w:eastAsia="zh-CN"/>
                    </w:rPr>
                    <w:t>发行中心部</w:t>
                  </w:r>
                </w:p>
              </w:tc>
              <w:tc>
                <w:tcPr>
                  <w:tcW w:w="6762" w:type="dxa"/>
                  <w:gridSpan w:val="2"/>
                  <w:vAlign w:val="top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A在C的指导下审核Q条款：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Q:5.3组织的岗位、职责和权限、6.2质量目标、8.5生产和服务提供的控制、8.6放行、8.7不合格品控制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E/O:5.3组织的岗位、职责和权限、6.2环境/职业健康安全目标、6.1.2环境因素/危险源的识别与评价、6.1.4措施的策划、8.1运行策划和控制、8.2应急准备和响应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6" w:hRule="atLeast"/>
                <w:jc w:val="center"/>
              </w:trPr>
              <w:tc>
                <w:tcPr>
                  <w:tcW w:w="888" w:type="dxa"/>
                  <w:vAlign w:val="top"/>
                </w:tcPr>
                <w:p>
                  <w:pPr>
                    <w:spacing w:line="240" w:lineRule="auto"/>
                    <w:jc w:val="left"/>
                    <w:rPr>
                      <w:rFonts w:hint="eastAsia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sz w:val="21"/>
                      <w:szCs w:val="21"/>
                      <w:lang w:val="en-US" w:eastAsia="zh-CN"/>
                    </w:rPr>
                    <w:t>网络事业部</w:t>
                  </w:r>
                </w:p>
              </w:tc>
              <w:tc>
                <w:tcPr>
                  <w:tcW w:w="6762" w:type="dxa"/>
                  <w:gridSpan w:val="2"/>
                  <w:vAlign w:val="top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A在C的指导下审核Q条款：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Q:5.3组织的岗位、职责和权限、6.2质量目标、8.5生产和服务提供、8.6放行、8.7不合格品控制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E/O:5.3组织的岗位、职责和权限、6.2环境/职业健康安全目标、6.1.2环境因素/危险源的识别与评价、6.1.4措施的策划、8.1运行策划和控制、8.2应急准备和响应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6" w:hRule="atLeast"/>
                <w:jc w:val="center"/>
              </w:trPr>
              <w:tc>
                <w:tcPr>
                  <w:tcW w:w="888" w:type="dxa"/>
                  <w:vAlign w:val="top"/>
                </w:tcPr>
                <w:p>
                  <w:pPr>
                    <w:spacing w:line="240" w:lineRule="auto"/>
                    <w:jc w:val="left"/>
                    <w:rPr>
                      <w:rFonts w:hint="eastAsia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sz w:val="21"/>
                      <w:szCs w:val="21"/>
                      <w:lang w:val="en-US" w:eastAsia="zh-CN"/>
                    </w:rPr>
                    <w:t>工程技术部</w:t>
                  </w:r>
                </w:p>
              </w:tc>
              <w:tc>
                <w:tcPr>
                  <w:tcW w:w="6762" w:type="dxa"/>
                  <w:gridSpan w:val="2"/>
                  <w:vAlign w:val="top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A在C的指导下审核Q条款：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Q:5.3组织的岗位、职责和权限、6.2质量目标、7.1.5监视和测量资源、8.1运行策划、8.3设计开发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12" w:lineRule="auto"/>
                    <w:textAlignment w:val="auto"/>
                    <w:rPr>
                      <w:rFonts w:hint="eastAsia" w:ascii="宋体" w:hAnsi="宋体" w:eastAsia="宋体" w:cs="Arial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E/O:5.3组织的岗位、职责和权限、6.2环境/职业健康安全目标、6.1.2环境因素/危险源的识别与评价、6.1.4措施的策划、8.1运行策划和控制、8.2应急准备和响应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7650" w:type="dxa"/>
                  <w:gridSpan w:val="3"/>
                  <w:vAlign w:val="top"/>
                </w:tcPr>
                <w:p>
                  <w:pPr>
                    <w:snapToGrid w:val="0"/>
                    <w:spacing w:line="240" w:lineRule="auto"/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末次会议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/2022.7.20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00FF34F5"/>
    <w:rsid w:val="1CB51D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2968</Words>
  <Characters>3479</Characters>
  <Lines>16</Lines>
  <Paragraphs>4</Paragraphs>
  <TotalTime>1</TotalTime>
  <ScaleCrop>false</ScaleCrop>
  <LinksUpToDate>false</LinksUpToDate>
  <CharactersWithSpaces>3990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2022-07-18T06:35:55Z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