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0654-2019-E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陕西华骏机械制造有限责任公司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陕西华骏机械制造有限责任公司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陕西省咸阳市礼泉县食品工业园区科技路北侧</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713200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陕西省咸阳市礼泉县食品工业园区科技路北侧</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713200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上官鸿雪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029 3892 3281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ind w:firstLine="201" w:firstLineChars="100"/>
              <w:rPr>
                <w:rFonts w:ascii="宋体"/>
                <w:b/>
                <w:color w:val="000000"/>
                <w:sz w:val="20"/>
                <w:szCs w:val="20"/>
              </w:rPr>
            </w:pPr>
            <w:bookmarkStart w:id="19" w:name="法人"/>
            <w:r>
              <w:rPr>
                <w:rFonts w:ascii="宋体"/>
                <w:b/>
                <w:color w:val="000000"/>
                <w:sz w:val="20"/>
                <w:szCs w:val="20"/>
              </w:rPr>
              <w:t>李峰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ind w:firstLine="602" w:firstLineChars="300"/>
              <w:rPr>
                <w:rFonts w:hint="default" w:ascii="宋体" w:eastAsia="宋体"/>
                <w:b/>
                <w:color w:val="000000"/>
                <w:sz w:val="20"/>
                <w:szCs w:val="20"/>
                <w:lang w:val="en-US" w:eastAsia="zh-CN"/>
              </w:rPr>
            </w:pPr>
            <w:r>
              <w:rPr>
                <w:rFonts w:hint="eastAsia" w:ascii="宋体"/>
                <w:b/>
                <w:color w:val="000000"/>
                <w:sz w:val="20"/>
                <w:szCs w:val="20"/>
                <w:lang w:val="en-US" w:eastAsia="zh-CN"/>
              </w:rPr>
              <w:t>林媛</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汽车零部件及配件制造（五大总成除外）。</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22.03.02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生产部、技术部、采购部、销售部、综合管理部、财务部、质量部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汽车零部件及配件制造（五大总成除外）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生产部、技术部、质量部、综合管理部、财务部、采购部、销售部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质量部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陕西省咸阳市礼泉县食品工业园区科技路北侧</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ascii="宋体" w:hAnsi="宋体" w:cs="宋体"/>
                <w:kern w:val="1"/>
                <w:sz w:val="18"/>
                <w:szCs w:val="18"/>
              </w:rPr>
              <w:t>污水综合排放标准</w:t>
            </w:r>
            <w:r>
              <w:rPr>
                <w:rFonts w:hint="eastAsia" w:ascii="宋体" w:hAnsi="宋体" w:cs="宋体"/>
                <w:kern w:val="1"/>
                <w:sz w:val="18"/>
                <w:szCs w:val="18"/>
                <w:lang w:eastAsia="zh-CN"/>
              </w:rPr>
              <w:t>、</w:t>
            </w:r>
            <w:r>
              <w:rPr>
                <w:rFonts w:hint="eastAsia" w:ascii="宋体" w:hAnsi="宋体" w:cs="宋体"/>
                <w:kern w:val="1"/>
                <w:sz w:val="18"/>
                <w:szCs w:val="18"/>
              </w:rPr>
              <w:t>大气污染物综合排放标准</w:t>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"环境\\25社会生活环境噪声排放标准.pdf"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社会生活环境噪声排放标准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"环境\\31声环境质量.pdf"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声环境质量</w:t>
            </w:r>
            <w:r>
              <w:rPr>
                <w:rFonts w:ascii="宋体" w:hAnsi="宋体" w:cs="宋体"/>
                <w:kern w:val="1"/>
                <w:sz w:val="18"/>
                <w:szCs w:val="18"/>
              </w:rPr>
              <w:t>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hint="eastAsia" w:ascii="宋体" w:hAnsi="宋体" w:cs="宋体"/>
                <w:color w:val="000000"/>
                <w:kern w:val="1"/>
                <w:sz w:val="18"/>
                <w:szCs w:val="18"/>
              </w:rPr>
              <w:t>一般工业固体废物贮存、处置场污染控制标准</w:t>
            </w:r>
            <w:r>
              <w:rPr>
                <w:rFonts w:hint="eastAsia" w:ascii="宋体" w:hAnsi="宋体" w:cs="宋体"/>
                <w:color w:val="000000"/>
                <w:kern w:val="1"/>
                <w:sz w:val="18"/>
                <w:szCs w:val="18"/>
                <w:lang w:eastAsia="zh-CN"/>
              </w:rPr>
              <w:t>、</w:t>
            </w:r>
            <w:r>
              <w:rPr>
                <w:rFonts w:ascii="宋体" w:hAnsi="宋体" w:cs="宋体"/>
                <w:kern w:val="1"/>
                <w:sz w:val="18"/>
                <w:szCs w:val="18"/>
              </w:rPr>
              <w:t>危险废物贮存污染控制标准</w:t>
            </w:r>
            <w:r>
              <w:rPr>
                <w:rFonts w:hint="eastAsia" w:ascii="宋体" w:hAnsi="宋体" w:cs="宋体"/>
                <w:kern w:val="1"/>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Theme="minorEastAsia" w:hAnsiTheme="minorEastAsia"/>
                <w:sz w:val="21"/>
                <w:szCs w:val="21"/>
                <w:lang w:val="en-US" w:eastAsia="zh-CN"/>
              </w:rPr>
              <w:t>顾客需求的确定</w:t>
            </w:r>
            <w:r>
              <w:rPr>
                <w:rFonts w:hint="eastAsia" w:asciiTheme="minorEastAsia" w:hAnsiTheme="minorEastAsia"/>
                <w:sz w:val="21"/>
                <w:szCs w:val="21"/>
              </w:rPr>
              <w:t>→</w:t>
            </w:r>
            <w:r>
              <w:rPr>
                <w:rFonts w:hint="eastAsia" w:asciiTheme="minorEastAsia" w:hAnsiTheme="minorEastAsia"/>
                <w:sz w:val="21"/>
                <w:szCs w:val="21"/>
                <w:lang w:val="en-US" w:eastAsia="zh-CN"/>
              </w:rPr>
              <w:t>合同评审</w:t>
            </w:r>
            <w:r>
              <w:rPr>
                <w:rFonts w:hint="eastAsia" w:asciiTheme="minorEastAsia" w:hAnsiTheme="minorEastAsia"/>
                <w:sz w:val="21"/>
                <w:szCs w:val="21"/>
              </w:rPr>
              <w:t>→</w:t>
            </w:r>
            <w:r>
              <w:rPr>
                <w:rFonts w:hint="eastAsia" w:asciiTheme="minorEastAsia" w:hAnsiTheme="minorEastAsia"/>
                <w:sz w:val="21"/>
                <w:szCs w:val="21"/>
                <w:lang w:val="en-US" w:eastAsia="zh-CN"/>
              </w:rPr>
              <w:t>采购（外购铸造毛坯）</w:t>
            </w:r>
            <w:r>
              <w:rPr>
                <w:rFonts w:hint="eastAsia" w:asciiTheme="minorEastAsia" w:hAnsiTheme="minorEastAsia"/>
                <w:sz w:val="21"/>
                <w:szCs w:val="21"/>
              </w:rPr>
              <w:t>→</w:t>
            </w:r>
            <w:r>
              <w:rPr>
                <w:rFonts w:hint="eastAsia" w:asciiTheme="minorEastAsia" w:hAnsiTheme="minorEastAsia"/>
                <w:sz w:val="21"/>
                <w:szCs w:val="21"/>
                <w:lang w:val="en-US" w:eastAsia="zh-CN"/>
              </w:rPr>
              <w:t>毛坯检验</w:t>
            </w:r>
            <w:r>
              <w:rPr>
                <w:rFonts w:hint="eastAsia" w:asciiTheme="minorEastAsia" w:hAnsiTheme="minorEastAsia"/>
                <w:sz w:val="21"/>
                <w:szCs w:val="21"/>
              </w:rPr>
              <w:t>→</w:t>
            </w:r>
            <w:r>
              <w:rPr>
                <w:rFonts w:hint="eastAsia" w:asciiTheme="minorEastAsia" w:hAnsiTheme="minorEastAsia"/>
                <w:sz w:val="21"/>
                <w:szCs w:val="21"/>
                <w:lang w:val="en-US" w:eastAsia="zh-CN"/>
              </w:rPr>
              <w:t>机加工（车、钻、铣、磨）</w:t>
            </w:r>
            <w:r>
              <w:rPr>
                <w:rFonts w:hint="eastAsia" w:asciiTheme="minorEastAsia" w:hAnsiTheme="minorEastAsia"/>
                <w:sz w:val="21"/>
                <w:szCs w:val="21"/>
              </w:rPr>
              <w:t>→</w:t>
            </w:r>
            <w:r>
              <w:rPr>
                <w:rFonts w:hint="eastAsia" w:asciiTheme="minorEastAsia" w:hAnsiTheme="minorEastAsia"/>
                <w:sz w:val="21"/>
                <w:szCs w:val="21"/>
                <w:lang w:val="en-US" w:eastAsia="zh-CN"/>
              </w:rPr>
              <w:t>成品检验</w:t>
            </w:r>
            <w:r>
              <w:rPr>
                <w:rFonts w:hint="eastAsia" w:asciiTheme="minorEastAsia" w:hAnsiTheme="minorEastAsia"/>
                <w:sz w:val="21"/>
                <w:szCs w:val="21"/>
              </w:rPr>
              <w:t>→</w:t>
            </w:r>
            <w:r>
              <w:rPr>
                <w:rFonts w:hint="eastAsia" w:asciiTheme="minorEastAsia" w:hAnsiTheme="minorEastAsia"/>
                <w:sz w:val="21"/>
                <w:szCs w:val="21"/>
                <w:lang w:val="en-US" w:eastAsia="zh-CN"/>
              </w:rPr>
              <w:t>成品入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签订了外包协议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数控车床、加工中心、数控滚齿机床、卧式内拉机、拉刀磨、多孔钻床、台钻、外园磨床、锯床、滚丝机、摇臂钻床等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硬度计、光谱仪、碳硫分析仪、元素分析仪、气密试验机、布、洛氏硬度计、金相显微镜、分析天平、三坐标测量机等检测设备20余台，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widowControl/>
              <w:suppressLineNumbers w:val="0"/>
              <w:jc w:val="left"/>
              <w:rPr>
                <w:rFonts w:hint="default" w:ascii="宋体"/>
                <w:color w:val="000000"/>
                <w:sz w:val="20"/>
                <w:szCs w:val="20"/>
                <w:lang w:val="en-US"/>
              </w:rPr>
            </w:pPr>
            <w:r>
              <w:rPr>
                <w:rFonts w:hint="eastAsia" w:ascii="宋体"/>
                <w:color w:val="000000"/>
                <w:sz w:val="20"/>
                <w:szCs w:val="20"/>
              </w:rPr>
              <w:t>重要环境因素有：</w:t>
            </w:r>
            <w:r>
              <w:rPr>
                <w:rFonts w:hint="eastAsia" w:ascii="宋体" w:hAnsi="宋体" w:eastAsia="宋体" w:cs="宋体"/>
                <w:color w:val="000000"/>
                <w:kern w:val="0"/>
                <w:sz w:val="19"/>
                <w:szCs w:val="19"/>
                <w:lang w:val="en-US" w:eastAsia="zh-CN" w:bidi="ar"/>
              </w:rPr>
              <w:t>：潜在的火灾、固废排放、噪声排放、</w:t>
            </w:r>
            <w:r>
              <w:rPr>
                <w:rFonts w:hint="eastAsia" w:ascii="宋体" w:hAnsi="宋体" w:cs="宋体"/>
                <w:color w:val="000000"/>
                <w:kern w:val="0"/>
                <w:sz w:val="19"/>
                <w:szCs w:val="19"/>
                <w:lang w:val="en-US" w:eastAsia="zh-CN" w:bidi="ar"/>
              </w:rPr>
              <w:t>能源和资源消耗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widowControl/>
              <w:suppressLineNumbers w:val="0"/>
              <w:jc w:val="left"/>
              <w:rPr>
                <w:rFonts w:ascii="宋体"/>
                <w:color w:val="000000"/>
                <w:sz w:val="20"/>
                <w:szCs w:val="20"/>
              </w:rPr>
            </w:pPr>
            <w:r>
              <w:rPr>
                <w:rFonts w:hint="eastAsia" w:ascii="宋体"/>
                <w:color w:val="000000"/>
                <w:sz w:val="20"/>
                <w:szCs w:val="20"/>
              </w:rPr>
              <w:t>应急预案有：</w:t>
            </w:r>
            <w:r>
              <w:rPr>
                <w:rFonts w:hint="eastAsia" w:ascii="宋体" w:hAnsi="宋体" w:eastAsia="宋体" w:cs="宋体"/>
                <w:color w:val="000000"/>
                <w:kern w:val="0"/>
                <w:sz w:val="19"/>
                <w:szCs w:val="19"/>
                <w:lang w:val="en-US" w:eastAsia="zh-CN" w:bidi="ar"/>
              </w:rPr>
              <w:t>物体打击应急预案、火灾应急预案、机械伤害应急预案、</w:t>
            </w:r>
            <w:r>
              <w:rPr>
                <w:rFonts w:hint="eastAsia" w:ascii="宋体" w:hAnsi="宋体" w:eastAsia="宋体" w:cs="宋体"/>
                <w:color w:val="000000"/>
                <w:kern w:val="0"/>
                <w:sz w:val="21"/>
                <w:szCs w:val="21"/>
                <w:lang w:val="en-US" w:eastAsia="zh-CN" w:bidi="ar"/>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52</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生产部、综合管理部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widowControl/>
              <w:suppressLineNumbers w:val="0"/>
              <w:jc w:val="left"/>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公司于 </w:t>
            </w:r>
            <w:r>
              <w:rPr>
                <w:rFonts w:hint="default" w:ascii="Times New Roman" w:hAnsi="Times New Roman" w:eastAsia="宋体" w:cs="Times New Roman"/>
                <w:color w:val="000000"/>
                <w:kern w:val="0"/>
                <w:sz w:val="21"/>
                <w:szCs w:val="21"/>
                <w:lang w:val="en-US" w:eastAsia="zh-CN" w:bidi="ar"/>
              </w:rPr>
              <w:t>2019.</w:t>
            </w:r>
            <w:r>
              <w:rPr>
                <w:rFonts w:hint="eastAsia" w:ascii="Times New Roman" w:hAnsi="Times New Roman" w:cs="Times New Roman"/>
                <w:color w:val="000000"/>
                <w:kern w:val="0"/>
                <w:sz w:val="21"/>
                <w:szCs w:val="21"/>
                <w:lang w:val="en-US" w:eastAsia="zh-CN" w:bidi="ar"/>
              </w:rPr>
              <w:t>11.10-</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进行一次内审，提供了内审计划、内审记录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不符合报告、内审报告等，发现了 </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项不符合项，具体内容见审核记录</w:t>
            </w:r>
            <w:r>
              <w:rPr>
                <w:rFonts w:hint="eastAsia" w:ascii="宋体" w:hAnsi="宋体" w:eastAsia="宋体" w:cs="宋体"/>
                <w:b/>
                <w:color w:val="000000"/>
                <w:kern w:val="0"/>
                <w:sz w:val="19"/>
                <w:szCs w:val="19"/>
                <w:lang w:val="en-US" w:eastAsia="zh-CN" w:bidi="ar"/>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hAnsi="宋体"/>
                <w:b/>
                <w:color w:val="000000"/>
                <w:sz w:val="20"/>
                <w:szCs w:val="20"/>
              </w:rPr>
              <w:t>了解内审结论是什么？</w:t>
            </w:r>
            <w:r>
              <w:rPr>
                <w:rFonts w:hint="eastAsia" w:ascii="宋体" w:hAnsi="宋体" w:eastAsia="宋体" w:cs="宋体"/>
                <w:color w:val="000000"/>
                <w:kern w:val="0"/>
                <w:sz w:val="21"/>
                <w:szCs w:val="21"/>
                <w:lang w:val="en-US" w:eastAsia="zh-CN" w:bidi="ar"/>
              </w:rPr>
              <w:t xml:space="preserve">基本符合计划安排和标准的要求，并得到了较有效实施和保持，仍 </w:t>
            </w:r>
          </w:p>
          <w:p>
            <w:pPr>
              <w:keepNext w:val="0"/>
              <w:keepLines w:val="0"/>
              <w:widowControl/>
              <w:suppressLineNumbers w:val="0"/>
              <w:jc w:val="left"/>
              <w:rPr>
                <w:rFonts w:ascii="宋体"/>
                <w:b/>
                <w:color w:val="000000"/>
                <w:sz w:val="20"/>
                <w:szCs w:val="20"/>
              </w:rPr>
            </w:pPr>
            <w:r>
              <w:rPr>
                <w:rFonts w:hint="eastAsia" w:ascii="宋体" w:hAnsi="宋体" w:eastAsia="宋体" w:cs="宋体"/>
                <w:color w:val="000000"/>
                <w:kern w:val="0"/>
                <w:sz w:val="21"/>
                <w:szCs w:val="21"/>
                <w:lang w:val="en-US" w:eastAsia="zh-CN" w:bidi="ar"/>
              </w:rPr>
              <w:t>需进一步改进。</w:t>
            </w:r>
            <w:r>
              <w:rPr>
                <w:rFonts w:hint="eastAsia" w:ascii="宋体" w:hAnsi="宋体" w:eastAsia="宋体" w:cs="宋体"/>
                <w:b/>
                <w:color w:val="000000"/>
                <w:kern w:val="0"/>
                <w:sz w:val="19"/>
                <w:szCs w:val="19"/>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eastAsia="宋体"/>
                <w:b/>
                <w:color w:val="000000"/>
                <w:sz w:val="20"/>
                <w:szCs w:val="20"/>
                <w:u w:val="single"/>
                <w:lang w:eastAsia="zh-CN"/>
              </w:rPr>
              <w:drawing>
                <wp:anchor distT="0" distB="0" distL="114300" distR="114300" simplePos="0" relativeHeight="251658240" behindDoc="0" locked="0" layoutInCell="1" allowOverlap="1">
                  <wp:simplePos x="0" y="0"/>
                  <wp:positionH relativeFrom="column">
                    <wp:posOffset>-127000</wp:posOffset>
                  </wp:positionH>
                  <wp:positionV relativeFrom="paragraph">
                    <wp:posOffset>-304800</wp:posOffset>
                  </wp:positionV>
                  <wp:extent cx="6837045" cy="9198610"/>
                  <wp:effectExtent l="0" t="0" r="8255" b="8890"/>
                  <wp:wrapNone/>
                  <wp:docPr id="1" name="图片 1" descr="新文档 2019-12-21 10.27.0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1 10.27.08_9"/>
                          <pic:cNvPicPr>
                            <a:picLocks noChangeAspect="1"/>
                          </pic:cNvPicPr>
                        </pic:nvPicPr>
                        <pic:blipFill>
                          <a:blip r:embed="rId6"/>
                          <a:stretch>
                            <a:fillRect/>
                          </a:stretch>
                        </pic:blipFill>
                        <pic:spPr>
                          <a:xfrm>
                            <a:off x="0" y="0"/>
                            <a:ext cx="6837045" cy="9198610"/>
                          </a:xfrm>
                          <a:prstGeom prst="rect">
                            <a:avLst/>
                          </a:prstGeom>
                        </pic:spPr>
                      </pic:pic>
                    </a:graphicData>
                  </a:graphic>
                </wp:anchor>
              </w:drawing>
            </w:r>
            <w:r>
              <w:rPr>
                <w:rFonts w:hint="eastAsia" w:ascii="宋体" w:hAnsi="宋体"/>
                <w:b/>
                <w:color w:val="000000"/>
                <w:sz w:val="20"/>
                <w:szCs w:val="20"/>
              </w:rPr>
              <w:t>管理评审</w:t>
            </w:r>
          </w:p>
        </w:tc>
        <w:tc>
          <w:tcPr>
            <w:tcW w:w="8221" w:type="dxa"/>
          </w:tcPr>
          <w:p>
            <w:pPr>
              <w:keepNext w:val="0"/>
              <w:keepLines w:val="0"/>
              <w:widowControl/>
              <w:suppressLineNumbers w:val="0"/>
              <w:jc w:val="left"/>
            </w:pPr>
            <w:r>
              <w:rPr>
                <w:rFonts w:hint="eastAsia" w:ascii="宋体" w:hAnsi="宋体"/>
                <w:b/>
                <w:color w:val="000000"/>
                <w:sz w:val="20"/>
                <w:szCs w:val="20"/>
              </w:rPr>
              <w:t>了解管理审的策划</w:t>
            </w:r>
            <w:r>
              <w:rPr>
                <w:rFonts w:ascii="宋体" w:hAnsi="宋体"/>
                <w:b/>
                <w:color w:val="000000"/>
                <w:sz w:val="20"/>
                <w:szCs w:val="20"/>
              </w:rPr>
              <w:t xml:space="preserve">; </w:t>
            </w:r>
            <w:r>
              <w:rPr>
                <w:rFonts w:hint="default" w:ascii="Times New Roman" w:hAnsi="Times New Roman" w:eastAsia="宋体" w:cs="Times New Roman"/>
                <w:color w:val="000000"/>
                <w:kern w:val="0"/>
                <w:sz w:val="21"/>
                <w:szCs w:val="21"/>
                <w:lang w:val="en-US" w:eastAsia="zh-CN" w:bidi="ar"/>
              </w:rPr>
              <w:t>2019.</w:t>
            </w:r>
            <w:r>
              <w:rPr>
                <w:rFonts w:hint="eastAsia" w:ascii="Times New Roman" w:hAnsi="Times New Roman" w:cs="Times New Roman"/>
                <w:color w:val="000000"/>
                <w:kern w:val="0"/>
                <w:sz w:val="21"/>
                <w:szCs w:val="21"/>
                <w:lang w:val="en-US" w:eastAsia="zh-CN" w:bidi="ar"/>
              </w:rPr>
              <w:t>11</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cs="Times New Roman"/>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 xml:space="preserve">召开了管理评审会议，由总经理主持。提供管理评审报 </w:t>
            </w:r>
          </w:p>
          <w:p>
            <w:pPr>
              <w:keepNext w:val="0"/>
              <w:keepLines w:val="0"/>
              <w:widowControl/>
              <w:suppressLineNumbers w:val="0"/>
              <w:jc w:val="left"/>
              <w:rPr>
                <w:rFonts w:ascii="宋体"/>
                <w:b/>
                <w:color w:val="000000"/>
                <w:sz w:val="20"/>
                <w:szCs w:val="20"/>
              </w:rPr>
            </w:pPr>
            <w:r>
              <w:rPr>
                <w:rFonts w:hint="eastAsia" w:ascii="宋体" w:hAnsi="宋体" w:eastAsia="宋体" w:cs="宋体"/>
                <w:color w:val="000000"/>
                <w:kern w:val="0"/>
                <w:sz w:val="21"/>
                <w:szCs w:val="21"/>
                <w:lang w:val="en-US" w:eastAsia="zh-CN" w:bidi="ar"/>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公司各部门基本按照管理体系标准要求实施已初步取得良好的效果。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公司方针、目标及管理方案、管理体系文件、环境控制等符合公司目前发展状况，所配备的各类资源基本满足管理体系要求。公司环境管理体系基本是充分、有效和适宜的。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tabs>
          <w:tab w:val="left" w:pos="360"/>
        </w:tabs>
        <w:ind w:left="359" w:leftChars="103" w:hanging="143" w:hangingChars="7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2019.12.18</w:t>
      </w:r>
      <w:bookmarkStart w:id="23" w:name="_GoBack"/>
      <w:bookmarkEnd w:id="23"/>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70AB8"/>
    <w:rsid w:val="1FFF11EE"/>
    <w:rsid w:val="20FF7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29</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2019-12-21T03:13:25Z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