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江西金信科技集团有限公司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0150-2020-QEO-2022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江西省宜春市樟树市城北经济技术开发区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聂美良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江西省宜春市樟树市城北经济技术开发区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代小玲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0795-7878588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18379530729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办公家具（办公桌、办公椅）；钢木家具（钢（木）公寓床、钢（木）书架、钢（木）期刊架（柜）、钢（木）阅览桌（椅）、钢（木）展柜）；公交候车亭、智能公交电子站牌、课桌（椅）、军用床、智能型密集架、智能型书架、手动密集架、博物馆珍藏架、文物柜（架）、重型货架、药品架（柜）、文件柜、防磁柜、保险柜、智能枪（弹）柜、金库门、活动库房、爆炸危险品移动库房、智能存放架、电脑桌（椅）、会议桌（椅）、培训桌（椅）、茶水柜、古籍书柜、字画箱（柜）、服务台、讲台的设计、生产制造及环卫设备（垃圾箱、垃圾桶、环卫车）、教学仪器设备的销售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办公家具（办公桌、办公椅）；钢木家具（钢（木）公寓床、钢（木）书架、钢（木）期刊架（柜）、钢（木）阅览桌（椅）、钢（木）展柜）；公交候车亭、智能公交电子站牌、课桌（椅）、军用床、智能型密集架、智能型书架、手动密集架、博物馆珍藏架、文物柜（架）、重型货架、药品架（柜）、文件柜、防磁柜、保险柜、智能枪（弹）柜、金库门、活动库房、爆炸危险品移动库房、智能存放架、电脑桌（椅）、会议桌（椅）、培训桌（椅）、茶水柜、古籍书柜、字画箱（柜）、服务台、讲台的设计、生产制造及环卫设备（垃圾箱、垃圾桶、环卫车）、教学仪器设备的销售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（办公桌、办公椅）；钢木家具（钢（木）公寓床、钢（木）书架、钢（木）期刊架（柜）、钢（木）阅览桌（椅）、钢（木）展柜）；公交候车亭、智能公交电子站牌、课桌（椅）、军用床、智能型密集架、智能型书架、手动密集架、博物馆珍藏架、文物柜（架）、重型货架、药品架（柜）、文件柜、防磁柜、保险柜、智能枪（弹）柜、金库门、活动库房、爆炸危险品移动库房、智能存放架、电脑桌（椅）、会议桌（椅）、培训桌（椅）、茶水柜、古籍书柜、字画箱（柜）、服务台、讲台的设计、生产制造及环卫设备（垃圾箱、垃圾桶、环卫车）、教学仪器设备的销售所涉及的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Q：17.06.02;17.12.05;23.01.01;29.10.07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E：17.06.02;17.12.05;23.01.01;29.10.07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O：17.06.02;17.12.05;23.01.01;29.10.07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3"/>
              <w:gridCol w:w="1487"/>
              <w:gridCol w:w="975"/>
              <w:gridCol w:w="6513"/>
              <w:gridCol w:w="6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733" w:type="dxa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日期</w:t>
                  </w:r>
                </w:p>
              </w:tc>
              <w:tc>
                <w:tcPr>
                  <w:tcW w:w="1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部门</w:t>
                  </w:r>
                </w:p>
              </w:tc>
              <w:tc>
                <w:tcPr>
                  <w:tcW w:w="65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过程、涉及条款</w:t>
                  </w:r>
                </w:p>
              </w:tc>
              <w:tc>
                <w:tcPr>
                  <w:tcW w:w="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审核人员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  <w:jc w:val="center"/>
              </w:trPr>
              <w:tc>
                <w:tcPr>
                  <w:tcW w:w="733" w:type="dxa"/>
                  <w:vMerge w:val="restart"/>
                  <w:tcBorders>
                    <w:top w:val="single" w:color="auto" w:sz="4" w:space="0"/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hint="default" w:asci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cs="Arial"/>
                      <w:sz w:val="21"/>
                      <w:szCs w:val="21"/>
                      <w:lang w:val="en-US" w:eastAsia="zh-CN"/>
                    </w:rPr>
                    <w:t>5.31</w:t>
                  </w:r>
                </w:p>
              </w:tc>
              <w:tc>
                <w:tcPr>
                  <w:tcW w:w="1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:30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-14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:00</w:t>
                  </w:r>
                </w:p>
              </w:tc>
              <w:tc>
                <w:tcPr>
                  <w:tcW w:w="74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80" w:lineRule="exact"/>
                    <w:ind w:firstLine="422" w:firstLineChars="200"/>
                    <w:jc w:val="center"/>
                    <w:rPr>
                      <w:rFonts w:ascii="宋体" w:cs="Arial"/>
                      <w:spacing w:val="-6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首次会议</w:t>
                  </w:r>
                </w:p>
              </w:tc>
              <w:tc>
                <w:tcPr>
                  <w:tcW w:w="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cs="Arial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 w:val="0"/>
                      <w:bCs w:val="0"/>
                      <w:sz w:val="21"/>
                      <w:szCs w:val="21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733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:00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-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rPr>
                      <w:rFonts w:hint="eastAsia"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</w:rPr>
                    <w:t>管理层、</w:t>
                  </w:r>
                </w:p>
                <w:p>
                  <w:pPr>
                    <w:jc w:val="left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</w:rPr>
                    <w:t>安全事务代表</w:t>
                  </w:r>
                </w:p>
              </w:tc>
              <w:tc>
                <w:tcPr>
                  <w:tcW w:w="65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QEO:4.1理解组织及其环境、4.2理解相关方的需求和期望、4.3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default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Q6.3变更的策划</w:t>
                  </w:r>
                  <w:r>
                    <w:rPr>
                      <w:rFonts w:hint="eastAsia" w:ascii="宋体" w:hAnsi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/8.3删减确认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O5.4协商与参与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singl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single"/>
                      <w:lang w:val="en-US" w:eastAsia="zh-CN" w:bidi="ar-SA"/>
                    </w:rPr>
                    <w:t>标准/规范/法规执行情况、上次审核不符合项的验证、认证证书、标志的使用情况、投诉或事故、监督抽查情况、体系变动</w:t>
                  </w:r>
                </w:p>
                <w:p>
                  <w:pPr>
                    <w:pStyle w:val="2"/>
                    <w:spacing w:line="360" w:lineRule="auto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u w:val="single"/>
                      <w:lang w:val="en-US" w:eastAsia="zh-CN"/>
                    </w:rPr>
                    <w:t>B审核划线部分</w:t>
                  </w:r>
                </w:p>
              </w:tc>
              <w:tc>
                <w:tcPr>
                  <w:tcW w:w="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eastAsia="宋体" w:cs="Arial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ascii="宋体" w:cs="Arial"/>
                      <w:b w:val="0"/>
                      <w:bCs w:val="0"/>
                      <w:sz w:val="21"/>
                      <w:szCs w:val="21"/>
                    </w:rPr>
                    <w:t>A</w:t>
                  </w:r>
                  <w:r>
                    <w:rPr>
                      <w:rFonts w:hint="eastAsia" w:ascii="宋体" w:cs="Arial"/>
                      <w:b w:val="0"/>
                      <w:bCs w:val="0"/>
                      <w:sz w:val="21"/>
                      <w:szCs w:val="21"/>
                      <w:u w:val="single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733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48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:30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-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17:00</w:t>
                  </w:r>
                </w:p>
              </w:tc>
              <w:tc>
                <w:tcPr>
                  <w:tcW w:w="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Arial"/>
                      <w:b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</w:rPr>
                    <w:t>行政部</w:t>
                  </w:r>
                </w:p>
              </w:tc>
              <w:tc>
                <w:tcPr>
                  <w:tcW w:w="65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QMS: 5.3组织的岗位、职责和权限、6.2质量目标、9.1.1监视、测量、分析和评价总则、9.1.3分析与评价、9.2 内部审核、10.2不合格和纠正措施，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EMS/OHSMS: 5.3组织的岗位、职责和权限、6.2.1环境/职业健康安全目标、6.2.2实现环境/职业健康安全目标措施的策划、6.1.2环境因素/危险源的识别与评价、、8.1运行策划和控制、8.2应急准备和响应、9.2 内部审核、10.2不符合/事件和纠正措施</w:t>
                  </w:r>
                </w:p>
              </w:tc>
              <w:tc>
                <w:tcPr>
                  <w:tcW w:w="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eastAsia="宋体" w:cs="Arial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cs="Arial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733" w:type="dxa"/>
                  <w:vMerge w:val="continue"/>
                  <w:tcBorders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48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rPr>
                      <w:rFonts w:ascii="宋体" w:hAnsi="宋体" w:cs="Arial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</w:rPr>
                    <w:t>销售部</w:t>
                  </w:r>
                </w:p>
              </w:tc>
              <w:tc>
                <w:tcPr>
                  <w:tcW w:w="65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QMS:5.3组织的岗位、职责和权限、6.2质量目标、8.1运行策划和控制、8.2产品和服务的要求、8.5.1销售和服务提供的控制、8.5.3顾客或外部供方的财产、9.1.2顾客满意、8.5.5交付后的活动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EMS/ OHSMS: 5.3组织的岗位、职责和权限、6.2环境/职业健康安全目标、6.1.2环境因素/危险源辨识与评价、6.1.4措施的策划、8.1运行策划和控制、8.2应急准备和响应</w:t>
                  </w:r>
                </w:p>
              </w:tc>
              <w:tc>
                <w:tcPr>
                  <w:tcW w:w="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cs="Arial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宋体" w:cs="Arial"/>
                      <w:b w:val="0"/>
                      <w:bCs w:val="0"/>
                      <w:sz w:val="21"/>
                      <w:szCs w:val="21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733" w:type="dxa"/>
                  <w:vMerge w:val="restart"/>
                  <w:tcBorders>
                    <w:top w:val="single" w:color="auto" w:sz="4" w:space="0"/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hint="default" w:asci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cs="Arial"/>
                      <w:sz w:val="21"/>
                      <w:szCs w:val="21"/>
                      <w:lang w:val="en-US" w:eastAsia="zh-CN"/>
                    </w:rPr>
                    <w:t>6.1</w:t>
                  </w:r>
                </w:p>
              </w:tc>
              <w:tc>
                <w:tcPr>
                  <w:tcW w:w="148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8:30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-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15:30</w:t>
                  </w:r>
                </w:p>
                <w:p>
                  <w:pPr>
                    <w:spacing w:line="240" w:lineRule="exact"/>
                    <w:rPr>
                      <w:rFonts w:hint="eastAsia" w:asci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cs="Arial"/>
                      <w:sz w:val="21"/>
                      <w:szCs w:val="21"/>
                    </w:rPr>
                    <w:t>12:00</w:t>
                  </w:r>
                  <w:r>
                    <w:rPr>
                      <w:rFonts w:hint="eastAsia" w:ascii="宋体" w:cs="Arial"/>
                      <w:sz w:val="21"/>
                      <w:szCs w:val="21"/>
                      <w:lang w:val="en-US" w:eastAsia="zh-CN"/>
                    </w:rPr>
                    <w:t>-</w:t>
                  </w:r>
                  <w:r>
                    <w:rPr>
                      <w:rFonts w:hint="eastAsia" w:ascii="宋体" w:cs="Arial"/>
                      <w:sz w:val="21"/>
                      <w:szCs w:val="21"/>
                    </w:rPr>
                    <w:t>12:30</w:t>
                  </w:r>
                </w:p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cs="Arial"/>
                      <w:sz w:val="21"/>
                      <w:szCs w:val="21"/>
                    </w:rPr>
                    <w:t>午餐</w:t>
                  </w:r>
                </w:p>
              </w:tc>
              <w:tc>
                <w:tcPr>
                  <w:tcW w:w="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宋体"/>
                      <w:b/>
                      <w:bCs/>
                      <w:sz w:val="21"/>
                      <w:szCs w:val="21"/>
                    </w:rPr>
                    <w:t>生产部及现场</w:t>
                  </w:r>
                </w:p>
              </w:tc>
              <w:tc>
                <w:tcPr>
                  <w:tcW w:w="65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QMS:5.3组织的岗位、职责和权限、6.2质量目标、8.1运行策划和控制、8.3产品和服务的设计和开发、8.5.1生产和服务提供的控制、8.5.2产品标识和可追朔性、8.5.4产品防护、8.5.6更改控制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EMS/OHSMS:5.3组织的岗位、职责和权限、6.2环境/职业健康安全目标</w:t>
                  </w:r>
                  <w:r>
                    <w:rPr>
                      <w:rFonts w:hint="eastAsia" w:ascii="宋体" w:hAnsi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6.1.2环境因素/危险源的识别与</w:t>
                  </w:r>
                  <w:r>
                    <w:rPr>
                      <w:rFonts w:hint="eastAsia" w:ascii="宋体" w:hAnsi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风险</w:t>
                  </w: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评价、6.1.4措施的策划、8.1运行策划和控制、8.2应急准备和响应，6.1.3合规义务、9.1.2合规性评价</w:t>
                  </w:r>
                </w:p>
              </w:tc>
              <w:tc>
                <w:tcPr>
                  <w:tcW w:w="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cs="Arial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宋体" w:cs="Arial"/>
                      <w:b w:val="0"/>
                      <w:bCs w:val="0"/>
                      <w:sz w:val="21"/>
                      <w:szCs w:val="21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733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48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eastAsia" w:ascii="宋体" w:hAnsi="宋体" w:eastAsia="宋体" w:cs="Arial"/>
                      <w:b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</w:rPr>
                    <w:t>质检部</w:t>
                  </w:r>
                </w:p>
              </w:tc>
              <w:tc>
                <w:tcPr>
                  <w:tcW w:w="65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QMS:5.3组织的岗位、职责和权限、6.2质量目标、7.1.5监视和测量资源、8.6产品和服务的放行、8.7不合格输出的控制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EMS/OHSMS:5.3组织的岗位、职责和权限、6.2环境/职业健康安全目标、6.1.2环境因素/危险源辨识与评价、6.1.4措施的策划、8.1运行策划和控制、8.2应急准备和响应</w:t>
                  </w:r>
                </w:p>
              </w:tc>
              <w:tc>
                <w:tcPr>
                  <w:tcW w:w="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hAnsi="宋体" w:eastAsia="宋体" w:cs="Arial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733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48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:30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-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17:00</w:t>
                  </w:r>
                </w:p>
              </w:tc>
              <w:tc>
                <w:tcPr>
                  <w:tcW w:w="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</w:rPr>
                    <w:t>采购部</w:t>
                  </w:r>
                </w:p>
              </w:tc>
              <w:tc>
                <w:tcPr>
                  <w:tcW w:w="65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QMS:5.3组织的岗位、职责和权限、6.2质量目标、8.4外部提供过程、产品和服务的控制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EMS/OHSMS:5.3组织的岗位、职责和权限、6.2环境/职业健康安全目标、6.1.2环境因素/危险源辨识与评价、6.1.4措施的策划、8.1运行策划和控制、8.2应急准备和响应</w:t>
                  </w:r>
                </w:p>
              </w:tc>
              <w:tc>
                <w:tcPr>
                  <w:tcW w:w="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b w:val="0"/>
                      <w:bCs w:val="0"/>
                      <w:sz w:val="21"/>
                      <w:szCs w:val="21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733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48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</w:rPr>
                    <w:t>财务部</w:t>
                  </w:r>
                </w:p>
              </w:tc>
              <w:tc>
                <w:tcPr>
                  <w:tcW w:w="65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default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QMS:5.3组织的岗位、职责和权限、6.2质量目标</w:t>
                  </w:r>
                  <w:r>
                    <w:rPr>
                      <w:rFonts w:hint="eastAsia" w:ascii="宋体" w:hAnsi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、7.1资源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EMS</w:t>
                  </w:r>
                  <w:r>
                    <w:rPr>
                      <w:rFonts w:hint="eastAsia" w:ascii="宋体" w:hAnsi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/</w:t>
                  </w: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OHSMS:5.3组织的岗位、职责和权限、6.2环境/职业健康安全目标、6.1.2环境因素/危险源辨识与评价、6.1.4措施的策划</w:t>
                  </w:r>
                  <w:r>
                    <w:rPr>
                      <w:rFonts w:hint="eastAsia" w:ascii="宋体" w:hAnsi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、7.1资源</w:t>
                  </w: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、8.1运行策划和控制、8.2应急准备和响应</w:t>
                  </w:r>
                </w:p>
              </w:tc>
              <w:tc>
                <w:tcPr>
                  <w:tcW w:w="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eastAsia="宋体" w:cs="Arial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cs="Arial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733" w:type="dxa"/>
                  <w:vMerge w:val="continue"/>
                  <w:tcBorders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宋体" w:cs="Arial"/>
                      <w:sz w:val="21"/>
                      <w:szCs w:val="21"/>
                    </w:rPr>
                  </w:pPr>
                </w:p>
              </w:tc>
              <w:tc>
                <w:tcPr>
                  <w:tcW w:w="14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17:00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-17:30</w:t>
                  </w:r>
                </w:p>
              </w:tc>
              <w:tc>
                <w:tcPr>
                  <w:tcW w:w="74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jc w:val="center"/>
                    <w:textAlignment w:val="baseline"/>
                    <w:rPr>
                      <w:rFonts w:ascii="宋体" w:hAnsi="宋体" w:cs="Arial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bCs/>
                      <w:spacing w:val="1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末次会</w:t>
                  </w:r>
                </w:p>
              </w:tc>
              <w:tc>
                <w:tcPr>
                  <w:tcW w:w="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cs="Arial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 w:val="0"/>
                      <w:bCs w:val="0"/>
                      <w:sz w:val="21"/>
                      <w:szCs w:val="21"/>
                    </w:rPr>
                    <w:t>AB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eastAsia="zh-CN"/>
              </w:rPr>
              <w:t>再认证抽样的覆盖性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2B4931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2507</Words>
  <Characters>2764</Characters>
  <Lines>16</Lines>
  <Paragraphs>4</Paragraphs>
  <TotalTime>5</TotalTime>
  <ScaleCrop>false</ScaleCrop>
  <LinksUpToDate>false</LinksUpToDate>
  <CharactersWithSpaces>3273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2022-05-29T09:25:01Z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