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0094-2020-Q-2022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四川锐恩智铁电气设备有限责任公司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四川锐恩智铁电气设备有限责任公司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绵阳科创区创新中心2号楼307室</w:t>
            </w:r>
            <w:bookmarkEnd w:id="6"/>
          </w:p>
        </w:tc>
        <w:tc>
          <w:tcPr>
            <w:tcW w:w="1242" w:type="dxa"/>
            <w:vMerge w:val="restart"/>
            <w:vAlign w:val="center"/>
          </w:tcPr>
          <w:p>
            <w:r>
              <w:rPr>
                <w:rFonts w:hint="eastAsia"/>
              </w:rPr>
              <w:t>邮编</w:t>
            </w:r>
          </w:p>
        </w:tc>
        <w:tc>
          <w:tcPr>
            <w:tcW w:w="1771" w:type="dxa"/>
          </w:tcPr>
          <w:p>
            <w:bookmarkStart w:id="7" w:name="注册邮编"/>
            <w:r>
              <w:t>621000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四川省绵阳市高新区普明中街97号</w:t>
            </w:r>
            <w:bookmarkEnd w:id="8"/>
          </w:p>
        </w:tc>
        <w:tc>
          <w:tcPr>
            <w:tcW w:w="1242" w:type="dxa"/>
            <w:vMerge w:val="continue"/>
            <w:vAlign w:val="center"/>
          </w:tcPr>
          <w:p/>
        </w:tc>
        <w:tc>
          <w:tcPr>
            <w:tcW w:w="1771" w:type="dxa"/>
          </w:tcPr>
          <w:p>
            <w:bookmarkStart w:id="9" w:name="办公邮编"/>
            <w:r>
              <w:t>621000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刘凯</w:t>
            </w:r>
            <w:bookmarkEnd w:id="10"/>
          </w:p>
        </w:tc>
        <w:tc>
          <w:tcPr>
            <w:tcW w:w="1313" w:type="dxa"/>
            <w:vAlign w:val="center"/>
          </w:tcPr>
          <w:p>
            <w:r>
              <w:rPr>
                <w:rFonts w:hint="eastAsia"/>
              </w:rPr>
              <w:t>电话.</w:t>
            </w:r>
          </w:p>
        </w:tc>
        <w:tc>
          <w:tcPr>
            <w:tcW w:w="2180" w:type="dxa"/>
            <w:vAlign w:val="center"/>
          </w:tcPr>
          <w:p>
            <w:bookmarkStart w:id="11" w:name="联系人电话"/>
            <w:r>
              <w:t>0816-2388919</w:t>
            </w:r>
            <w:bookmarkEnd w:id="11"/>
          </w:p>
        </w:tc>
        <w:tc>
          <w:tcPr>
            <w:tcW w:w="1242" w:type="dxa"/>
            <w:vAlign w:val="center"/>
          </w:tcPr>
          <w:p>
            <w:r>
              <w:rPr>
                <w:rFonts w:hint="eastAsia"/>
              </w:rPr>
              <w:t>传真</w:t>
            </w:r>
          </w:p>
        </w:tc>
        <w:tc>
          <w:tcPr>
            <w:tcW w:w="1771" w:type="dxa"/>
          </w:tcPr>
          <w:p>
            <w:bookmarkStart w:id="12" w:name="联系人传真"/>
            <w:r>
              <w:t>0816-2388919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王江丽</w:t>
            </w:r>
            <w:bookmarkEnd w:id="13"/>
          </w:p>
        </w:tc>
        <w:tc>
          <w:tcPr>
            <w:tcW w:w="1313" w:type="dxa"/>
            <w:vAlign w:val="center"/>
          </w:tcPr>
          <w:p>
            <w:pPr>
              <w:rPr>
                <w:rFonts w:hint="eastAsia" w:ascii="Times New Roman" w:hAnsi="Times New Roman" w:cs="Times New Roman"/>
              </w:rPr>
            </w:pPr>
            <w:r>
              <w:rPr>
                <w:rFonts w:hint="eastAsia" w:ascii="Times New Roman" w:hAnsi="Times New Roman" w:cs="Times New Roman"/>
              </w:rPr>
              <w:t>管理者代表</w:t>
            </w:r>
          </w:p>
        </w:tc>
        <w:tc>
          <w:tcPr>
            <w:tcW w:w="2180" w:type="dxa"/>
          </w:tcPr>
          <w:p>
            <w:pPr>
              <w:rPr>
                <w:rFonts w:hint="eastAsia" w:ascii="Times New Roman" w:hAnsi="Times New Roman" w:cs="Times New Roman"/>
              </w:rPr>
            </w:pPr>
            <w:r>
              <w:rPr>
                <w:rFonts w:hint="eastAsia" w:ascii="Times New Roman" w:hAnsi="Times New Roman" w:cs="Times New Roman"/>
                <w:lang w:eastAsia="zh-CN"/>
              </w:rPr>
              <w:t>朱国奇</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pPr>
              <w:rPr>
                <w:rFonts w:hint="eastAsia" w:ascii="Times New Roman" w:hAnsi="Times New Roman" w:cs="Times New Roman"/>
              </w:rPr>
            </w:pPr>
            <w:r>
              <w:rPr>
                <w:rFonts w:hint="eastAsia" w:ascii="Times New Roman" w:hAnsi="Times New Roman" w:cs="Times New Roman"/>
              </w:rPr>
              <w:t>生产/服务提供流程简图</w:t>
            </w:r>
          </w:p>
          <w:p>
            <w:pPr>
              <w:rPr>
                <w:rFonts w:hint="eastAsia" w:ascii="Times New Roman" w:hAnsi="Times New Roman" w:cs="Times New Roman"/>
              </w:rPr>
            </w:pPr>
          </w:p>
          <w:p>
            <w:pPr>
              <w:rPr>
                <w:rFonts w:hint="eastAsia" w:ascii="Times New Roman" w:hAnsi="Times New Roman" w:cs="Times New Roman"/>
              </w:rPr>
            </w:pPr>
          </w:p>
        </w:tc>
        <w:tc>
          <w:tcPr>
            <w:tcW w:w="8058" w:type="dxa"/>
            <w:gridSpan w:val="5"/>
            <w:shd w:val="clear" w:color="auto" w:fill="auto"/>
          </w:tcPr>
          <w:p>
            <w:pPr>
              <w:rPr>
                <w:rFonts w:hint="eastAsia"/>
              </w:rPr>
            </w:pPr>
            <w:r>
              <w:rPr>
                <w:rFonts w:hint="eastAsia"/>
              </w:rPr>
              <w:t>产品研发流程：</w:t>
            </w:r>
          </w:p>
          <w:p>
            <w:pPr>
              <w:rPr>
                <w:rFonts w:hint="eastAsia"/>
              </w:rPr>
            </w:pPr>
            <w:r>
              <w:rPr>
                <w:rFonts w:hint="eastAsia"/>
              </w:rPr>
              <w:t>项目立项—小组成立—开发计划—软件开发—图纸及数据审查—图纸及数据下发—测试</w:t>
            </w:r>
          </w:p>
          <w:p>
            <w:pPr>
              <w:pStyle w:val="14"/>
              <w:rPr>
                <w:rFonts w:hint="eastAsia"/>
              </w:rPr>
            </w:pPr>
            <w:r>
              <w:rPr>
                <w:rFonts w:ascii="宋体" w:hAnsi="宋体" w:cs="宋体"/>
                <w:kern w:val="0"/>
                <w:szCs w:val="21"/>
              </w:rPr>
              <w:t>产品销售服务流程：</w:t>
            </w:r>
            <w:r>
              <w:rPr>
                <w:rFonts w:ascii="宋体" w:hAnsi="宋体" w:cs="宋体"/>
                <w:kern w:val="0"/>
                <w:szCs w:val="21"/>
              </w:rPr>
              <w:br w:type="textWrapping"/>
            </w:r>
            <w:r>
              <w:rPr>
                <w:rFonts w:hint="eastAsia" w:ascii="宋体" w:hAnsi="宋体" w:cs="宋体"/>
                <w:kern w:val="0"/>
                <w:szCs w:val="21"/>
              </w:rPr>
              <w:t>确定顾客群体------商务洽谈------签订合同-----产品采购---产品交付----售后服务</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2022年06月14日 上午至2022年06月14日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四川省绵阳市高新区普明中街97号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电气化设备、高速铁路牵引供电专用检测与检修设备（工具）、可视化监测设备的设计开发及销售服务</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19.05.01;29.10.07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cs="Times New Roman"/>
              </w:rPr>
            </w:pPr>
            <w:r>
              <w:rPr>
                <w:rFonts w:hint="eastAsia" w:ascii="Times New Roman" w:hAnsi="Times New Roman" w:cs="Times New Roman"/>
                <w:lang w:eastAsia="zh-CN"/>
              </w:rPr>
              <w:t>2019年08月20日</w:t>
            </w:r>
          </w:p>
        </w:tc>
        <w:tc>
          <w:tcPr>
            <w:tcW w:w="1883" w:type="dxa"/>
            <w:vAlign w:val="center"/>
          </w:tcPr>
          <w:p>
            <w:pPr>
              <w:rPr>
                <w:rFonts w:hint="eastAsia" w:ascii="Times New Roman" w:hAnsi="Times New Roman" w:cs="Times New Roman"/>
              </w:rPr>
            </w:pPr>
            <w:r>
              <w:rPr>
                <w:rFonts w:hint="eastAsia" w:ascii="Times New Roman" w:hAnsi="Times New Roman" w:cs="Times New Roman"/>
              </w:rPr>
              <w:t>管理体系运行已超过3个月</w:t>
            </w:r>
          </w:p>
        </w:tc>
        <w:tc>
          <w:tcPr>
            <w:tcW w:w="3215" w:type="dxa"/>
            <w:vAlign w:val="center"/>
          </w:tcPr>
          <w:p>
            <w:pPr>
              <w:rPr>
                <w:rFonts w:hint="eastAsia" w:ascii="Times New Roman" w:hAnsi="Times New Roman" w:cs="Times New Roman"/>
              </w:rPr>
            </w:pPr>
            <w:r>
              <w:rPr>
                <w:rFonts w:hint="eastAsia" w:ascii="Times New Roman" w:hAnsi="Times New Roman" w:cs="Times New Roman"/>
              </w:rPr>
              <w:sym w:font="Wingdings 2" w:char="0052"/>
            </w:r>
            <w:r>
              <w:rPr>
                <w:rFonts w:hint="eastAsia" w:ascii="Times New Roman" w:hAnsi="Times New Roman"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cs="Times New Roman"/>
                <w:lang w:val="en-US" w:eastAsia="zh-CN"/>
              </w:rPr>
            </w:pPr>
            <w:r>
              <w:rPr>
                <w:rFonts w:hint="eastAsia" w:ascii="Times New Roman" w:hAnsi="Times New Roman" w:cs="Times New Roman"/>
                <w:lang w:val="en-US" w:eastAsia="zh-CN"/>
              </w:rPr>
              <w:t>2021年05月24日</w:t>
            </w:r>
          </w:p>
        </w:tc>
        <w:tc>
          <w:tcPr>
            <w:tcW w:w="1883" w:type="dxa"/>
            <w:vAlign w:val="center"/>
          </w:tcPr>
          <w:p>
            <w:pPr>
              <w:rPr>
                <w:rFonts w:hint="eastAsia" w:ascii="Times New Roman" w:hAnsi="Times New Roman" w:cs="Times New Roman"/>
              </w:rPr>
            </w:pPr>
            <w:r>
              <w:rPr>
                <w:rFonts w:hint="eastAsia" w:ascii="Times New Roman" w:hAnsi="Times New Roman" w:cs="Times New Roman"/>
              </w:rPr>
              <w:t>认证证书有效期</w:t>
            </w:r>
          </w:p>
          <w:p>
            <w:pPr>
              <w:rPr>
                <w:rFonts w:hint="eastAsia" w:ascii="Times New Roman" w:hAnsi="Times New Roman" w:cs="Times New Roman"/>
              </w:rPr>
            </w:pPr>
            <w:r>
              <w:rPr>
                <w:rFonts w:hint="eastAsia" w:ascii="Times New Roman" w:hAnsi="Times New Roman" w:cs="Times New Roman"/>
              </w:rPr>
              <w:t>（初审除外）</w:t>
            </w:r>
          </w:p>
        </w:tc>
        <w:tc>
          <w:tcPr>
            <w:tcW w:w="3215" w:type="dxa"/>
            <w:vAlign w:val="center"/>
          </w:tcPr>
          <w:p>
            <w:pPr>
              <w:rPr>
                <w:rFonts w:hint="default" w:ascii="Times New Roman" w:hAnsi="Times New Roman" w:eastAsia="宋体" w:cs="Times New Roman"/>
                <w:lang w:val="en-US" w:eastAsia="zh-CN"/>
              </w:rPr>
            </w:pPr>
            <w:r>
              <w:rPr>
                <w:rFonts w:hint="eastAsia" w:ascii="Times New Roman" w:hAnsi="Times New Roman" w:cs="Times New Roman"/>
              </w:rPr>
              <w:t>有效至</w:t>
            </w:r>
            <w:r>
              <w:rPr>
                <w:rFonts w:hint="eastAsia" w:ascii="Times New Roman" w:hAnsi="Times New Roman" w:cs="Times New Roman"/>
                <w:lang w:val="en-US" w:eastAsia="zh-CN"/>
              </w:rPr>
              <w:t>2023年04月20日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四川锐恩智铁电气设备有限责任公司</w:t>
            </w:r>
            <w:r>
              <w:rPr>
                <w:rFonts w:hint="eastAsia"/>
                <w:sz w:val="21"/>
                <w:szCs w:val="21"/>
                <w:lang w:val="en-US" w:eastAsia="zh-CN"/>
              </w:rPr>
              <w:t>/</w:t>
            </w:r>
            <w:r>
              <w:rPr>
                <w:rFonts w:asciiTheme="minorEastAsia" w:hAnsiTheme="minorEastAsia" w:eastAsiaTheme="minorEastAsia"/>
                <w:sz w:val="20"/>
              </w:rPr>
              <w:t>绵阳科创区创新中心2号楼307室</w:t>
            </w:r>
          </w:p>
        </w:tc>
        <w:tc>
          <w:tcPr>
            <w:tcW w:w="2267" w:type="dxa"/>
          </w:tcPr>
          <w:p>
            <w:pPr>
              <w:rPr>
                <w:lang w:val="de-DE" w:eastAsia="ja-JP"/>
              </w:rPr>
            </w:pPr>
            <w:r>
              <w:rPr>
                <w:rFonts w:asciiTheme="minorEastAsia" w:hAnsiTheme="minorEastAsia" w:eastAsiaTheme="minorEastAsia"/>
                <w:sz w:val="20"/>
              </w:rPr>
              <w:t>四川省绵阳市高新区普明中街97号</w:t>
            </w:r>
          </w:p>
        </w:tc>
        <w:tc>
          <w:tcPr>
            <w:tcW w:w="571" w:type="dxa"/>
            <w:vAlign w:val="center"/>
          </w:tcPr>
          <w:p>
            <w:pPr>
              <w:rPr>
                <w:rFonts w:hint="eastAsia" w:eastAsia="宋体"/>
                <w:lang w:val="en-US" w:eastAsia="zh-CN"/>
              </w:rPr>
            </w:pPr>
            <w:r>
              <w:rPr>
                <w:rFonts w:hint="eastAsia"/>
                <w:lang w:val="en-US" w:eastAsia="zh-CN"/>
              </w:rPr>
              <w:t>6</w:t>
            </w:r>
          </w:p>
        </w:tc>
        <w:tc>
          <w:tcPr>
            <w:tcW w:w="2803" w:type="dxa"/>
            <w:vAlign w:val="center"/>
          </w:tcPr>
          <w:p>
            <w:pPr>
              <w:rPr>
                <w:highlight w:val="none"/>
                <w:lang w:eastAsia="ja-JP"/>
              </w:rPr>
            </w:pPr>
            <w:r>
              <w:rPr>
                <w:rFonts w:hint="eastAsia" w:ascii="宋体" w:hAnsi="宋体"/>
                <w:highlight w:val="none"/>
              </w:rPr>
              <w:t xml:space="preserve">电气化设备、高速铁路牵引供电专用检测与检修设备（工具）、可视化监测设备的设计开发及销售服务  </w:t>
            </w:r>
          </w:p>
        </w:tc>
        <w:tc>
          <w:tcPr>
            <w:tcW w:w="669" w:type="dxa"/>
            <w:vAlign w:val="center"/>
          </w:tcPr>
          <w:p>
            <w:pPr>
              <w:rPr>
                <w:highlight w:val="none"/>
                <w:lang w:eastAsia="ja-JP"/>
              </w:rPr>
            </w:pPr>
            <w:r>
              <w:rPr>
                <w:rFonts w:hint="eastAsia" w:ascii="宋体" w:hAnsi="宋体"/>
                <w:highlight w:val="none"/>
              </w:rPr>
              <w:t>GB/T19001-2016</w:t>
            </w:r>
          </w:p>
        </w:tc>
        <w:tc>
          <w:tcPr>
            <w:tcW w:w="668" w:type="dxa"/>
            <w:shd w:val="clear" w:color="auto" w:fill="FFFFFF"/>
          </w:tcPr>
          <w:p>
            <w:pPr>
              <w:rPr>
                <w:highlight w:val="none"/>
              </w:rPr>
            </w:pPr>
            <w:r>
              <w:rPr>
                <w:rFonts w:hint="eastAsia"/>
                <w:highlight w:val="none"/>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r>
              <w:t>19.05.01,29.10.07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tc>
      </w:tr>
    </w:tbl>
    <w:tbl>
      <w:tblPr>
        <w:tblStyle w:val="10"/>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5"/>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735"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2022年06月14日</w:t>
            </w:r>
          </w:p>
        </w:tc>
      </w:tr>
    </w:tbl>
    <w:p/>
    <w:p/>
    <w:p>
      <w:r>
        <w:rPr>
          <w:rFonts w:hint="eastAsia"/>
        </w:rPr>
        <w:t>十四、审核报告的发放范围：</w:t>
      </w:r>
      <w:bookmarkStart w:id="33" w:name="_GoBack"/>
      <w:bookmarkEnd w:id="33"/>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spacing w:before="40" w:after="40"/>
        <w:rPr>
          <w:rFonts w:eastAsia="微软雅黑"/>
        </w:rPr>
      </w:pPr>
    </w:p>
    <w:p>
      <w:pPr>
        <w:pStyle w:val="14"/>
        <w:rPr>
          <w:rFonts w:eastAsia="微软雅黑"/>
        </w:rPr>
      </w:pPr>
    </w:p>
    <w:p>
      <w:pPr>
        <w:pStyle w:val="14"/>
        <w:rPr>
          <w:rFonts w:eastAsia="微软雅黑"/>
        </w:rPr>
      </w:pPr>
    </w:p>
    <w:p>
      <w:pPr>
        <w:pStyle w:val="14"/>
        <w:rPr>
          <w:rFonts w:eastAsia="微软雅黑"/>
        </w:rPr>
      </w:pPr>
    </w:p>
    <w:p>
      <w:pPr>
        <w:pStyle w:val="14"/>
        <w:rPr>
          <w:rFonts w:eastAsia="微软雅黑"/>
        </w:rPr>
      </w:pPr>
    </w:p>
    <w:p>
      <w:pPr>
        <w:pStyle w:val="14"/>
        <w:rPr>
          <w:rFonts w:eastAsia="微软雅黑"/>
        </w:rPr>
      </w:pPr>
    </w:p>
    <w:p>
      <w:pPr>
        <w:pStyle w:val="14"/>
        <w:rPr>
          <w:rFonts w:eastAsia="微软雅黑"/>
        </w:rPr>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w:t>
            </w:r>
            <w:r>
              <w:rPr>
                <w:rFonts w:hint="eastAsia" w:ascii="Times New Roman" w:hAnsi="Times New Roman" w:eastAsia="宋体" w:cs="Times New Roman"/>
              </w:rPr>
              <w:t>针：</w:t>
            </w:r>
          </w:p>
          <w:p>
            <w:pPr>
              <w:pStyle w:val="4"/>
              <w:spacing w:line="360" w:lineRule="auto"/>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经营优质产品，提供完善服务，</w:t>
            </w:r>
          </w:p>
          <w:p>
            <w:pPr>
              <w:pStyle w:val="4"/>
              <w:spacing w:line="360" w:lineRule="auto"/>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不断持续改进，追求顾客满意；</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w:t>
            </w:r>
            <w:r>
              <w:rPr>
                <w:rFonts w:hint="eastAsia"/>
                <w:lang w:val="en-GB"/>
              </w:rPr>
              <w:t>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7"/>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7"/>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7"/>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91" w:type="dxa"/>
                  <w:shd w:val="clear" w:color="auto" w:fill="auto"/>
                  <w:vAlign w:val="top"/>
                </w:tcPr>
                <w:p>
                  <w:pPr>
                    <w:rPr>
                      <w:rFonts w:hint="eastAsia" w:eastAsia="宋体"/>
                      <w:highlight w:val="yellow"/>
                      <w:lang w:val="en-US" w:eastAsia="zh-CN"/>
                    </w:rPr>
                  </w:pPr>
                  <w:r>
                    <w:rPr>
                      <w:rFonts w:ascii="宋体" w:hAnsi="宋体"/>
                      <w:bCs/>
                      <w:szCs w:val="21"/>
                    </w:rPr>
                    <w:t>客户满意度≥90分</w:t>
                  </w:r>
                </w:p>
              </w:tc>
              <w:tc>
                <w:tcPr>
                  <w:tcW w:w="3136"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调查评分满意客户数/接受调查客户数</w:t>
                  </w:r>
                </w:p>
              </w:tc>
              <w:tc>
                <w:tcPr>
                  <w:tcW w:w="1350"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市场部</w:t>
                  </w:r>
                </w:p>
              </w:tc>
              <w:tc>
                <w:tcPr>
                  <w:tcW w:w="1774"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cs="Times New Roman"/>
                      <w:bCs/>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yellow"/>
                      <w:lang w:val="en-US" w:eastAsia="zh-CN"/>
                    </w:rPr>
                  </w:pPr>
                  <w:r>
                    <w:rPr>
                      <w:rFonts w:ascii="宋体" w:hAnsi="宋体"/>
                      <w:bCs/>
                      <w:szCs w:val="21"/>
                    </w:rPr>
                    <w:t>产品研发合格率100%</w:t>
                  </w:r>
                </w:p>
              </w:tc>
              <w:tc>
                <w:tcPr>
                  <w:tcW w:w="3136"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rPr>
                    <w:t>产品研发合格数/产品研发总数量</w:t>
                  </w:r>
                </w:p>
              </w:tc>
              <w:tc>
                <w:tcPr>
                  <w:tcW w:w="1350" w:type="dxa"/>
                  <w:shd w:val="clear" w:color="auto" w:fill="auto"/>
                  <w:vAlign w:val="center"/>
                </w:tcPr>
                <w:p>
                  <w:pPr>
                    <w:numPr>
                      <w:ilvl w:val="0"/>
                      <w:numId w:val="0"/>
                    </w:numPr>
                    <w:rPr>
                      <w:rFonts w:hint="eastAsia" w:ascii="宋体" w:hAnsi="宋体" w:eastAsia="宋体" w:cs="Times New Roman"/>
                      <w:bCs/>
                      <w:szCs w:val="21"/>
                      <w:lang w:val="en-US" w:eastAsia="zh-CN"/>
                    </w:rPr>
                  </w:pPr>
                  <w:r>
                    <w:rPr>
                      <w:rFonts w:hint="eastAsia" w:ascii="宋体" w:hAnsi="宋体" w:cs="Times New Roman"/>
                      <w:bCs/>
                      <w:szCs w:val="21"/>
                      <w:lang w:val="en-US" w:eastAsia="zh-CN"/>
                    </w:rPr>
                    <w:t>技术部</w:t>
                  </w:r>
                </w:p>
              </w:tc>
              <w:tc>
                <w:tcPr>
                  <w:tcW w:w="1774"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eastAsia="宋体"/>
                      <w:highlight w:val="yellow"/>
                      <w:lang w:val="en-US" w:eastAsia="zh-CN"/>
                    </w:rPr>
                  </w:pPr>
                </w:p>
              </w:tc>
              <w:tc>
                <w:tcPr>
                  <w:tcW w:w="3136" w:type="dxa"/>
                  <w:shd w:val="clear" w:color="auto" w:fill="auto"/>
                  <w:vAlign w:val="center"/>
                </w:tcPr>
                <w:p>
                  <w:pPr>
                    <w:widowControl/>
                    <w:spacing w:before="40"/>
                    <w:jc w:val="left"/>
                    <w:rPr>
                      <w:rFonts w:hint="default" w:eastAsia="宋体"/>
                      <w:highlight w:val="yellow"/>
                      <w:lang w:val="en-US" w:eastAsia="zh-CN"/>
                    </w:rPr>
                  </w:pPr>
                </w:p>
              </w:tc>
              <w:tc>
                <w:tcPr>
                  <w:tcW w:w="1350" w:type="dxa"/>
                  <w:shd w:val="clear" w:color="auto" w:fill="auto"/>
                  <w:vAlign w:val="center"/>
                </w:tcPr>
                <w:p>
                  <w:pPr>
                    <w:widowControl/>
                    <w:spacing w:before="40"/>
                    <w:jc w:val="left"/>
                    <w:rPr>
                      <w:rFonts w:hint="default" w:eastAsia="宋体"/>
                      <w:highlight w:val="yellow"/>
                      <w:lang w:val="en-US" w:eastAsia="zh-CN"/>
                    </w:rPr>
                  </w:pPr>
                </w:p>
              </w:tc>
              <w:tc>
                <w:tcPr>
                  <w:tcW w:w="1774" w:type="dxa"/>
                  <w:shd w:val="clear" w:color="auto" w:fill="auto"/>
                  <w:vAlign w:val="center"/>
                </w:tcPr>
                <w:p>
                  <w:pPr>
                    <w:widowControl/>
                    <w:spacing w:before="40"/>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rPr>
              <w:t>建筑面积</w:t>
            </w:r>
            <w:r>
              <w:rPr>
                <w:rFonts w:hint="eastAsia" w:ascii="宋体" w:hAnsi="宋体" w:cs="宋体"/>
                <w:color w:val="auto"/>
                <w:szCs w:val="21"/>
                <w:highlight w:val="none"/>
                <w:lang w:val="en-US" w:eastAsia="zh-CN"/>
              </w:rPr>
              <w:t>130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主要生产设备有：办公设备、</w:t>
            </w:r>
            <w:r>
              <w:rPr>
                <w:rFonts w:hint="eastAsia" w:ascii="宋体" w:hAnsi="宋体"/>
                <w:color w:val="auto"/>
                <w:szCs w:val="21"/>
              </w:rPr>
              <w:t>电脑、</w:t>
            </w:r>
            <w:r>
              <w:rPr>
                <w:rFonts w:hint="eastAsia" w:ascii="宋体" w:hAnsi="宋体"/>
                <w:color w:val="auto"/>
                <w:szCs w:val="21"/>
                <w:lang w:val="en-US" w:eastAsia="zh-CN"/>
              </w:rPr>
              <w:t>打印机、服务器</w:t>
            </w:r>
            <w:r>
              <w:rPr>
                <w:rFonts w:hint="eastAsia" w:ascii="宋体" w:hAnsi="宋体"/>
                <w:color w:val="auto"/>
                <w:szCs w:val="21"/>
              </w:rPr>
              <w:t>等</w:t>
            </w:r>
            <w:r>
              <w:rPr>
                <w:rFonts w:hint="eastAsia" w:ascii="Times New Roman" w:hAnsi="Times New Roman" w:eastAsia="宋体" w:cs="Times New Roman"/>
              </w:rPr>
              <w:t>等</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A3"/>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A3"/>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 xml:space="preserve">无   </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sym w:font="Wingdings 2" w:char="00A3"/>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A3"/>
            </w:r>
            <w:r>
              <w:rPr>
                <w:rFonts w:hint="eastAsia"/>
              </w:rPr>
              <w:t xml:space="preserve">检测计划   </w:t>
            </w:r>
            <w:r>
              <w:rPr>
                <w:rFonts w:hint="eastAsia" w:ascii="Wingdings" w:hAnsi="Wingdings"/>
                <w:lang w:eastAsia="zh-CN"/>
              </w:rPr>
              <w:sym w:font="Wingdings 2" w:char="00A3"/>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5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r>
                    <w:rPr>
                      <w:rFonts w:hint="eastAsia"/>
                    </w:rPr>
                    <w:t>产品/服务名称</w:t>
                  </w:r>
                </w:p>
              </w:tc>
              <w:tc>
                <w:tcPr>
                  <w:tcW w:w="25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rPr>
                      <w:rFonts w:hint="default" w:ascii="Times New Roman" w:hAnsi="Times New Roman" w:eastAsia="宋体" w:cs="Times New Roman"/>
                      <w:sz w:val="20"/>
                      <w:lang w:val="en-US" w:eastAsia="zh-CN"/>
                    </w:rPr>
                  </w:pPr>
                  <w:r>
                    <w:rPr>
                      <w:sz w:val="20"/>
                    </w:rPr>
                    <w:t>电气化设备、高速铁路牵引供电专用检测与检修设备（工具）、可视化监测设备的设计开发及销售服务</w:t>
                  </w:r>
                </w:p>
              </w:tc>
              <w:tc>
                <w:tcPr>
                  <w:tcW w:w="2528" w:type="dxa"/>
                </w:tcPr>
                <w:p>
                  <w:pPr>
                    <w:shd w:val="clear" w:color="auto" w:fill="C7DAF1" w:themeFill="text2" w:themeFillTint="32"/>
                    <w:jc w:val="left"/>
                    <w:rPr>
                      <w:rFonts w:hint="default" w:ascii="Times New Roman" w:hAnsi="Times New Roman" w:eastAsia="宋体" w:cs="Times New Roman"/>
                      <w:sz w:val="20"/>
                      <w:lang w:val="en-US" w:eastAsia="zh-CN"/>
                    </w:rPr>
                  </w:pPr>
                  <w:r>
                    <w:rPr>
                      <w:rFonts w:hint="eastAsia" w:cs="Times New Roman"/>
                      <w:sz w:val="20"/>
                      <w:lang w:val="en-US" w:eastAsia="zh-CN"/>
                    </w:rPr>
                    <w:t>设计开发过程、销售服务过程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cs="Times New Roman"/>
                <w:sz w:val="20"/>
                <w:lang w:val="en-US" w:eastAsia="zh-CN"/>
              </w:rPr>
              <w:t>设计开发过程、销售服务过程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Times New Roman" w:hAnsi="Times New Roman" w:eastAsia="宋体" w:cs="Times New Roman"/>
                <w:u w:val="single"/>
              </w:rPr>
              <w:t xml:space="preserve">        </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通过年度策划于202</w:t>
            </w:r>
            <w:r>
              <w:rPr>
                <w:rFonts w:hint="eastAsia" w:cs="Times New Roman"/>
                <w:lang w:val="en-US" w:eastAsia="zh-CN"/>
              </w:rPr>
              <w:t>1</w:t>
            </w:r>
            <w:r>
              <w:rPr>
                <w:rFonts w:hint="eastAsia" w:ascii="Times New Roman" w:hAnsi="Times New Roman" w:eastAsia="宋体" w:cs="Times New Roman"/>
              </w:rPr>
              <w:t>年</w:t>
            </w:r>
            <w:r>
              <w:rPr>
                <w:rFonts w:hint="eastAsia" w:cs="Times New Roman"/>
                <w:lang w:val="en-US" w:eastAsia="zh-CN"/>
              </w:rPr>
              <w:t>11</w:t>
            </w:r>
            <w:r>
              <w:rPr>
                <w:rFonts w:hint="eastAsia" w:ascii="Times New Roman" w:hAnsi="Times New Roman" w:eastAsia="宋体" w:cs="Times New Roman"/>
              </w:rPr>
              <w:t>月</w:t>
            </w:r>
            <w:r>
              <w:rPr>
                <w:rFonts w:hint="eastAsia" w:cs="Times New Roman"/>
                <w:lang w:val="en-US" w:eastAsia="zh-CN"/>
              </w:rPr>
              <w:t>1</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eastAsia="宋体" w:cs="宋体"/>
                <w:color w:val="000000"/>
                <w:szCs w:val="24"/>
                <w:lang w:eastAsia="zh-CN"/>
              </w:rPr>
              <w:t>202</w:t>
            </w:r>
            <w:r>
              <w:rPr>
                <w:rFonts w:hint="eastAsia" w:ascii="宋体" w:hAnsi="宋体" w:eastAsia="宋体" w:cs="宋体"/>
                <w:color w:val="000000"/>
                <w:szCs w:val="24"/>
                <w:lang w:val="en-US" w:eastAsia="zh-CN"/>
              </w:rPr>
              <w:t>1</w:t>
            </w:r>
            <w:r>
              <w:rPr>
                <w:rFonts w:hint="eastAsia" w:ascii="宋体" w:hAnsi="宋体" w:eastAsia="宋体" w:cs="宋体"/>
                <w:color w:val="000000"/>
                <w:szCs w:val="24"/>
                <w:lang w:eastAsia="zh-CN"/>
              </w:rPr>
              <w:t>年11月</w:t>
            </w:r>
            <w:r>
              <w:rPr>
                <w:rFonts w:hint="eastAsia" w:ascii="宋体" w:hAnsi="宋体" w:eastAsia="宋体" w:cs="宋体"/>
                <w:color w:val="000000"/>
                <w:szCs w:val="24"/>
                <w:lang w:val="en-US" w:eastAsia="zh-CN"/>
              </w:rPr>
              <w:t>19</w:t>
            </w:r>
            <w:r>
              <w:rPr>
                <w:rFonts w:hint="eastAsia" w:ascii="宋体" w:hAnsi="宋体" w:eastAsia="宋体" w:cs="宋体"/>
                <w:color w:val="000000"/>
                <w:szCs w:val="24"/>
                <w:lang w:eastAsia="zh-CN"/>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10"/>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14"/>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314369E"/>
    <w:rsid w:val="095A0227"/>
    <w:rsid w:val="19526877"/>
    <w:rsid w:val="1CBA09BB"/>
    <w:rsid w:val="1DC51D0D"/>
    <w:rsid w:val="219B0F11"/>
    <w:rsid w:val="21D97B35"/>
    <w:rsid w:val="229B303C"/>
    <w:rsid w:val="3092758F"/>
    <w:rsid w:val="3DBD4357"/>
    <w:rsid w:val="3F5B3E28"/>
    <w:rsid w:val="44352E99"/>
    <w:rsid w:val="46E93AC7"/>
    <w:rsid w:val="47710D74"/>
    <w:rsid w:val="480F2D58"/>
    <w:rsid w:val="4D52686A"/>
    <w:rsid w:val="52D95337"/>
    <w:rsid w:val="54BD5ACF"/>
    <w:rsid w:val="56CD51B3"/>
    <w:rsid w:val="5B084A0C"/>
    <w:rsid w:val="668D04BB"/>
    <w:rsid w:val="6AFC5C0F"/>
    <w:rsid w:val="6B054229"/>
    <w:rsid w:val="6C303DC2"/>
    <w:rsid w:val="78DA66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Plain Text"/>
    <w:basedOn w:val="1"/>
    <w:uiPriority w:val="0"/>
    <w:pPr>
      <w:widowControl w:val="0"/>
      <w:jc w:val="both"/>
    </w:pPr>
    <w:rPr>
      <w:rFonts w:ascii="宋体" w:hAnsi="Courier New"/>
      <w:kern w:val="2"/>
      <w:sz w:val="21"/>
      <w:lang w:eastAsia="zh-CN"/>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8056</Words>
  <Characters>8646</Characters>
  <Lines>150</Lines>
  <Paragraphs>42</Paragraphs>
  <TotalTime>0</TotalTime>
  <ScaleCrop>false</ScaleCrop>
  <LinksUpToDate>false</LinksUpToDate>
  <CharactersWithSpaces>8946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2022-06-14T06:10:23Z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