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0734-2022-H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受审核方名称</w:t>
            </w:r>
          </w:p>
        </w:tc>
        <w:tc>
          <w:tcPr>
            <w:tcW w:w="5040" w:type="dxa"/>
            <w:gridSpan w:val="3"/>
            <w:shd w:val="clear" w:color="auto" w:fill="EBF1DE" w:themeFill="accent3" w:themeFillTint="32"/>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浙江天童食品有限公司</w:t>
            </w:r>
            <w:bookmarkEnd w:id="1"/>
          </w:p>
        </w:tc>
        <w:tc>
          <w:tcPr>
            <w:tcW w:w="1370" w:type="dxa"/>
            <w:shd w:val="clear" w:color="auto" w:fill="EBF1DE" w:themeFill="accent3" w:themeFillTint="3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shd w:val="clear" w:color="auto" w:fill="EBF1DE" w:themeFill="accent3" w:themeFillTint="3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5040" w:type="dxa"/>
            <w:gridSpan w:val="3"/>
          </w:tcPr>
          <w:p>
            <w:pPr>
              <w:snapToGrid w:val="0"/>
              <w:spacing w:line="0" w:lineRule="atLeast"/>
              <w:jc w:val="center"/>
              <w:rPr>
                <w:sz w:val="22"/>
                <w:szCs w:val="22"/>
                <w:highlight w:val="none"/>
              </w:rPr>
            </w:pPr>
            <w:bookmarkStart w:id="4" w:name="机构代码"/>
            <w:r>
              <w:rPr>
                <w:sz w:val="22"/>
                <w:szCs w:val="22"/>
                <w:highlight w:val="none"/>
              </w:rPr>
              <w:t>91330824745052243T</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5040" w:type="dxa"/>
            <w:gridSpan w:val="3"/>
            <w:shd w:val="clear" w:color="auto" w:fill="EBF1DE" w:themeFill="accent3" w:themeFillTint="32"/>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  条款)</w:t>
            </w:r>
          </w:p>
          <w:p>
            <w:pPr>
              <w:snapToGrid w:val="0"/>
              <w:spacing w:line="0" w:lineRule="atLeast"/>
              <w:jc w:val="left"/>
              <w:rPr>
                <w:sz w:val="22"/>
                <w:szCs w:val="22"/>
                <w:highlight w:val="none"/>
              </w:rPr>
            </w:pPr>
            <w:bookmarkStart w:id="6" w:name="QJ勾选"/>
            <w:r>
              <w:rPr>
                <w:rFonts w:hint="eastAsia"/>
                <w:sz w:val="22"/>
                <w:szCs w:val="22"/>
                <w:highlight w:val="none"/>
              </w:rPr>
              <w:t>□</w:t>
            </w:r>
            <w:bookmarkEnd w:id="6"/>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7" w:name="E勾选"/>
            <w:r>
              <w:rPr>
                <w:rFonts w:hint="eastAsia"/>
                <w:sz w:val="22"/>
                <w:szCs w:val="22"/>
                <w:highlight w:val="none"/>
              </w:rPr>
              <w:t>□</w:t>
            </w:r>
            <w:bookmarkEnd w:id="7"/>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8" w:name="S勾选"/>
            <w:r>
              <w:rPr>
                <w:rFonts w:hint="eastAsia"/>
                <w:sz w:val="22"/>
                <w:szCs w:val="22"/>
                <w:highlight w:val="none"/>
              </w:rPr>
              <w:t>□</w:t>
            </w:r>
            <w:bookmarkEnd w:id="8"/>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9" w:name="EnMS勾选"/>
            <w:r>
              <w:rPr>
                <w:rFonts w:hint="eastAsia"/>
                <w:sz w:val="22"/>
                <w:szCs w:val="22"/>
                <w:highlight w:val="none"/>
              </w:rPr>
              <w:t>□</w:t>
            </w:r>
            <w:bookmarkEnd w:id="9"/>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10" w:name="F勾选"/>
            <w:r>
              <w:rPr>
                <w:rFonts w:hint="eastAsia"/>
                <w:sz w:val="22"/>
                <w:szCs w:val="22"/>
                <w:highlight w:val="none"/>
              </w:rPr>
              <w:t>□</w:t>
            </w:r>
            <w:bookmarkEnd w:id="10"/>
            <w:r>
              <w:rPr>
                <w:rFonts w:hint="eastAsia"/>
                <w:sz w:val="22"/>
                <w:szCs w:val="22"/>
                <w:highlight w:val="none"/>
              </w:rPr>
              <w:t>ISO 22000-2018</w:t>
            </w:r>
          </w:p>
          <w:p>
            <w:pPr>
              <w:snapToGrid w:val="0"/>
              <w:spacing w:line="0" w:lineRule="atLeast"/>
              <w:jc w:val="left"/>
              <w:rPr>
                <w:sz w:val="22"/>
                <w:szCs w:val="22"/>
                <w:highlight w:val="none"/>
              </w:rPr>
            </w:pPr>
            <w:bookmarkStart w:id="11" w:name="H勾选"/>
            <w:r>
              <w:rPr>
                <w:rFonts w:hint="eastAsia"/>
                <w:sz w:val="22"/>
                <w:szCs w:val="22"/>
                <w:highlight w:val="none"/>
              </w:rPr>
              <w:t>■</w:t>
            </w:r>
            <w:bookmarkEnd w:id="11"/>
            <w:r>
              <w:rPr>
                <w:rFonts w:hint="eastAsia"/>
                <w:sz w:val="22"/>
                <w:szCs w:val="22"/>
                <w:highlight w:val="none"/>
              </w:rPr>
              <w:t>危害分析与关键控制点（HACCP体系）认证要求</w:t>
            </w:r>
            <w:r>
              <w:rPr>
                <w:rFonts w:hint="eastAsia"/>
                <w:sz w:val="22"/>
                <w:szCs w:val="22"/>
                <w:highlight w:val="none"/>
                <w:lang w:eastAsia="zh-CN"/>
              </w:rPr>
              <w:t>（</w:t>
            </w:r>
            <w:r>
              <w:rPr>
                <w:rFonts w:hint="eastAsia"/>
                <w:sz w:val="22"/>
                <w:szCs w:val="22"/>
                <w:highlight w:val="none"/>
                <w:lang w:val="en-US" w:eastAsia="zh-CN"/>
              </w:rPr>
              <w:t>V</w:t>
            </w:r>
            <w:r>
              <w:rPr>
                <w:rFonts w:hint="eastAsia"/>
                <w:sz w:val="22"/>
                <w:szCs w:val="22"/>
                <w:highlight w:val="none"/>
              </w:rPr>
              <w:t>1.0</w:t>
            </w:r>
            <w:r>
              <w:rPr>
                <w:rFonts w:hint="eastAsia"/>
                <w:sz w:val="22"/>
                <w:szCs w:val="22"/>
                <w:highlight w:val="none"/>
                <w:lang w:eastAsia="zh-CN"/>
              </w:rPr>
              <w:t>）</w:t>
            </w:r>
          </w:p>
        </w:tc>
        <w:tc>
          <w:tcPr>
            <w:tcW w:w="1370" w:type="dxa"/>
            <w:shd w:val="clear" w:color="auto" w:fill="EBF1DE" w:themeFill="accent3"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EBF1DE" w:themeFill="accent3" w:themeFillTint="32"/>
          </w:tcPr>
          <w:p>
            <w:pPr>
              <w:snapToGrid w:val="0"/>
              <w:spacing w:line="0" w:lineRule="atLeast"/>
              <w:jc w:val="center"/>
              <w:rPr>
                <w:rFonts w:hint="default" w:eastAsia="宋体"/>
                <w:sz w:val="22"/>
                <w:szCs w:val="22"/>
                <w:lang w:val="en-US" w:eastAsia="zh-CN"/>
              </w:rPr>
            </w:pPr>
            <w:r>
              <w:rPr>
                <w:rFonts w:hint="eastAsia"/>
                <w:sz w:val="22"/>
                <w:szCs w:val="22"/>
                <w:lang w:val="en-US" w:eastAsia="zh-CN"/>
              </w:rPr>
              <w:t>51人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EBF1DE" w:themeFill="accent3" w:themeFillTint="32"/>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rFonts w:hint="default" w:eastAsia="宋体"/>
                <w:b/>
                <w:color w:val="000000" w:themeColor="text1"/>
                <w:spacing w:val="-2"/>
                <w:sz w:val="21"/>
                <w:szCs w:val="21"/>
                <w:lang w:val="en-US" w:eastAsia="zh-CN"/>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w:t>
            </w:r>
            <w:r>
              <w:rPr>
                <w:rFonts w:hint="eastAsia"/>
                <w:b/>
                <w:color w:val="000000" w:themeColor="text1"/>
                <w:sz w:val="22"/>
                <w:szCs w:val="22"/>
              </w:rPr>
              <w:sym w:font="Wingdings 2" w:char="0052"/>
            </w:r>
            <w:r>
              <w:rPr>
                <w:rFonts w:hint="eastAsia"/>
                <w:b/>
                <w:color w:val="000000" w:themeColor="text1"/>
                <w:sz w:val="22"/>
                <w:szCs w:val="22"/>
              </w:rPr>
              <w:t>缩小）</w:t>
            </w:r>
            <w:r>
              <w:rPr>
                <w:rFonts w:hint="eastAsia"/>
                <w:b/>
                <w:color w:val="000000" w:themeColor="text1"/>
                <w:sz w:val="22"/>
                <w:szCs w:val="22"/>
                <w:lang w:eastAsia="zh-CN"/>
              </w:rPr>
              <w:t>【</w:t>
            </w:r>
            <w:r>
              <w:rPr>
                <w:rFonts w:hint="eastAsia"/>
                <w:b/>
                <w:color w:val="000000" w:themeColor="text1"/>
                <w:sz w:val="22"/>
                <w:szCs w:val="22"/>
                <w:lang w:val="en-US" w:eastAsia="zh-CN"/>
              </w:rPr>
              <w:t>一阶段变更</w:t>
            </w:r>
            <w:r>
              <w:rPr>
                <w:rFonts w:hint="eastAsia"/>
                <w:b/>
                <w:color w:val="000000" w:themeColor="text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left"/>
              <w:rPr>
                <w:sz w:val="22"/>
                <w:szCs w:val="22"/>
              </w:rPr>
            </w:pPr>
          </w:p>
        </w:tc>
        <w:tc>
          <w:tcPr>
            <w:tcW w:w="3373" w:type="dxa"/>
            <w:shd w:val="clear" w:color="auto" w:fill="EBF1DE" w:themeFill="accent3" w:themeFillTint="3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shd w:val="clear" w:color="auto" w:fill="EBF1DE" w:themeFill="accent3" w:themeFillTint="32"/>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shd w:val="clear" w:color="auto" w:fill="EBF1DE" w:themeFill="accent3"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EBF1DE" w:themeFill="accent3" w:themeFillTint="32"/>
          </w:tcPr>
          <w:p>
            <w:pPr>
              <w:snapToGrid w:val="0"/>
              <w:spacing w:line="0" w:lineRule="atLeast"/>
              <w:jc w:val="left"/>
              <w:rPr>
                <w:sz w:val="22"/>
                <w:szCs w:val="22"/>
                <w:lang w:val="en-GB"/>
              </w:rPr>
            </w:pPr>
            <w:bookmarkStart w:id="16" w:name="组织名称Add1"/>
            <w:r>
              <w:rPr>
                <w:rFonts w:hint="eastAsia"/>
                <w:sz w:val="22"/>
                <w:szCs w:val="22"/>
              </w:rPr>
              <w:t>浙江天童食品有限公司</w:t>
            </w:r>
            <w:bookmarkEnd w:id="16"/>
          </w:p>
        </w:tc>
        <w:tc>
          <w:tcPr>
            <w:tcW w:w="5013" w:type="dxa"/>
            <w:gridSpan w:val="4"/>
            <w:vMerge w:val="restart"/>
            <w:shd w:val="clear" w:color="auto" w:fill="EBF1DE" w:themeFill="accent3" w:themeFillTint="32"/>
          </w:tcPr>
          <w:p>
            <w:pPr>
              <w:snapToGrid w:val="0"/>
              <w:spacing w:line="0" w:lineRule="atLeast"/>
              <w:jc w:val="left"/>
              <w:rPr>
                <w:sz w:val="22"/>
                <w:szCs w:val="22"/>
              </w:rPr>
            </w:pPr>
            <w:bookmarkStart w:id="17" w:name="审核范围"/>
            <w:r>
              <w:rPr>
                <w:sz w:val="22"/>
                <w:szCs w:val="22"/>
              </w:rPr>
              <w:t>位于浙江省衢州市开化县马金镇绿色食品工业园区浙江天童食品有限公司生产车间水果罐头（黄桃罐头、</w:t>
            </w:r>
            <w:r>
              <w:rPr>
                <w:rFonts w:hint="eastAsia"/>
                <w:sz w:val="22"/>
                <w:szCs w:val="22"/>
                <w:lang w:val="en-US" w:eastAsia="zh-CN"/>
              </w:rPr>
              <w:t>柑橘</w:t>
            </w:r>
            <w:r>
              <w:rPr>
                <w:sz w:val="22"/>
                <w:szCs w:val="22"/>
              </w:rPr>
              <w:t>罐头、什锦罐头、枇杷罐头、杨梅罐头）的生产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BF1DE" w:themeFill="accent3"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EBF1DE" w:themeFill="accent3" w:themeFillTint="32"/>
          </w:tcPr>
          <w:p>
            <w:pPr>
              <w:snapToGrid w:val="0"/>
              <w:spacing w:line="0" w:lineRule="atLeast"/>
              <w:jc w:val="left"/>
              <w:rPr>
                <w:sz w:val="22"/>
                <w:szCs w:val="22"/>
              </w:rPr>
            </w:pPr>
            <w:bookmarkStart w:id="18" w:name="注册地址"/>
            <w:r>
              <w:rPr>
                <w:rFonts w:hint="eastAsia"/>
                <w:sz w:val="22"/>
                <w:szCs w:val="22"/>
                <w:lang w:val="en-GB"/>
              </w:rPr>
              <w:t>开化县马金镇绿色食品工业园区</w:t>
            </w:r>
            <w:bookmarkEnd w:id="18"/>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BF1DE" w:themeFill="accent3"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EBF1DE" w:themeFill="accent3" w:themeFillTint="32"/>
          </w:tcPr>
          <w:p>
            <w:pPr>
              <w:snapToGrid w:val="0"/>
              <w:spacing w:line="0" w:lineRule="atLeast"/>
              <w:jc w:val="left"/>
              <w:rPr>
                <w:sz w:val="22"/>
                <w:szCs w:val="22"/>
              </w:rPr>
            </w:pPr>
            <w:bookmarkStart w:id="19" w:name="办公地址"/>
            <w:r>
              <w:rPr>
                <w:rFonts w:hint="eastAsia"/>
                <w:sz w:val="22"/>
                <w:szCs w:val="22"/>
                <w:lang w:val="en-GB"/>
              </w:rPr>
              <w:t>浙江省衢州市开化县马金镇绿色食品工业园区</w:t>
            </w:r>
            <w:bookmarkEnd w:id="19"/>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E6E0EC" w:themeFill="accent4" w:themeFillTint="32"/>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E6E0EC" w:themeFill="accent4" w:themeFillTint="32"/>
          </w:tcPr>
          <w:p>
            <w:pPr>
              <w:snapToGrid w:val="0"/>
              <w:spacing w:line="0" w:lineRule="atLeast"/>
              <w:jc w:val="left"/>
              <w:rPr>
                <w:sz w:val="22"/>
                <w:szCs w:val="22"/>
              </w:rPr>
            </w:pPr>
            <w:r>
              <w:rPr>
                <w:rFonts w:hint="eastAsia"/>
                <w:sz w:val="22"/>
                <w:szCs w:val="22"/>
              </w:rPr>
              <w:t>Zhejiang Tiantong Food Co., Ltd.</w:t>
            </w: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QMS/EcMS</w:t>
            </w:r>
          </w:p>
        </w:tc>
        <w:tc>
          <w:tcPr>
            <w:tcW w:w="3676" w:type="dxa"/>
            <w:gridSpan w:val="3"/>
            <w:shd w:val="clear" w:color="auto" w:fill="E6E0EC" w:themeFill="accent4" w:themeFillTint="32"/>
          </w:tcPr>
          <w:p>
            <w:pPr>
              <w:snapToGrid w:val="0"/>
              <w:spacing w:line="0" w:lineRule="atLeast"/>
              <w:jc w:val="left"/>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E6E0EC" w:themeFill="accent4" w:themeFillTint="32"/>
          </w:tcPr>
          <w:p>
            <w:pPr>
              <w:snapToGrid w:val="0"/>
              <w:spacing w:line="0" w:lineRule="atLeast"/>
              <w:jc w:val="left"/>
              <w:rPr>
                <w:rFonts w:cs="Arial"/>
                <w:b/>
                <w:bCs/>
                <w:sz w:val="22"/>
                <w:szCs w:val="16"/>
              </w:rPr>
            </w:pPr>
          </w:p>
        </w:tc>
        <w:tc>
          <w:tcPr>
            <w:tcW w:w="3373" w:type="dxa"/>
            <w:vMerge w:val="continue"/>
            <w:shd w:val="clear" w:color="auto" w:fill="E6E0EC" w:themeFill="accent4" w:themeFillTint="32"/>
          </w:tcPr>
          <w:p>
            <w:pPr>
              <w:snapToGrid w:val="0"/>
              <w:spacing w:line="0" w:lineRule="atLeast"/>
              <w:jc w:val="left"/>
              <w:rPr>
                <w:rFonts w:cs="Arial"/>
                <w:b/>
                <w:bCs/>
                <w:sz w:val="22"/>
                <w:szCs w:val="16"/>
              </w:rPr>
            </w:pP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EMS</w:t>
            </w:r>
          </w:p>
        </w:tc>
        <w:tc>
          <w:tcPr>
            <w:tcW w:w="3676" w:type="dxa"/>
            <w:gridSpan w:val="3"/>
            <w:shd w:val="clear" w:color="auto" w:fill="E6E0EC" w:themeFill="accent4" w:themeFillTint="32"/>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E6E0EC" w:themeFill="accent4" w:themeFillTint="3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E6E0EC" w:themeFill="accent4" w:themeFillTint="32"/>
          </w:tcPr>
          <w:p>
            <w:pPr>
              <w:snapToGrid w:val="0"/>
              <w:spacing w:line="0" w:lineRule="atLeast"/>
              <w:jc w:val="left"/>
              <w:rPr>
                <w:sz w:val="22"/>
                <w:szCs w:val="22"/>
              </w:rPr>
            </w:pPr>
            <w:r>
              <w:rPr>
                <w:rFonts w:hint="eastAsia"/>
                <w:sz w:val="22"/>
                <w:szCs w:val="22"/>
              </w:rPr>
              <w:t>Green Food Industrial Park, Majin Town, Kaihua County</w:t>
            </w: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OHSMS</w:t>
            </w:r>
          </w:p>
        </w:tc>
        <w:tc>
          <w:tcPr>
            <w:tcW w:w="3676" w:type="dxa"/>
            <w:gridSpan w:val="3"/>
            <w:shd w:val="clear" w:color="auto" w:fill="E6E0EC" w:themeFill="accent4"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E6E0EC" w:themeFill="accent4" w:themeFillTint="32"/>
          </w:tcPr>
          <w:p>
            <w:pPr>
              <w:snapToGrid w:val="0"/>
              <w:spacing w:line="0" w:lineRule="atLeast"/>
              <w:jc w:val="left"/>
              <w:rPr>
                <w:sz w:val="22"/>
                <w:szCs w:val="16"/>
              </w:rPr>
            </w:pPr>
          </w:p>
        </w:tc>
        <w:tc>
          <w:tcPr>
            <w:tcW w:w="3373" w:type="dxa"/>
            <w:vMerge w:val="continue"/>
            <w:shd w:val="clear" w:color="auto" w:fill="E6E0EC" w:themeFill="accent4" w:themeFillTint="32"/>
          </w:tcPr>
          <w:p>
            <w:pPr>
              <w:snapToGrid w:val="0"/>
              <w:spacing w:line="0" w:lineRule="atLeast"/>
              <w:jc w:val="left"/>
              <w:rPr>
                <w:rFonts w:cs="Arial"/>
                <w:b/>
                <w:bCs/>
                <w:sz w:val="22"/>
                <w:szCs w:val="16"/>
              </w:rPr>
            </w:pP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EnMS</w:t>
            </w:r>
          </w:p>
        </w:tc>
        <w:tc>
          <w:tcPr>
            <w:tcW w:w="3676" w:type="dxa"/>
            <w:gridSpan w:val="3"/>
            <w:shd w:val="clear" w:color="auto" w:fill="E6E0EC" w:themeFill="accent4"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E6E0EC" w:themeFill="accent4" w:themeFillTint="3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E6E0EC" w:themeFill="accent4" w:themeFillTint="32"/>
          </w:tcPr>
          <w:p>
            <w:pPr>
              <w:snapToGrid w:val="0"/>
              <w:spacing w:line="0" w:lineRule="atLeast"/>
              <w:jc w:val="left"/>
              <w:rPr>
                <w:sz w:val="22"/>
                <w:szCs w:val="22"/>
              </w:rPr>
            </w:pPr>
            <w:r>
              <w:rPr>
                <w:rFonts w:hint="eastAsia"/>
                <w:sz w:val="22"/>
                <w:szCs w:val="22"/>
              </w:rPr>
              <w:t>Green Food Industrial Park, Majin Town, Kaihua County, Quzhou City, Zhejiang Province</w:t>
            </w: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FSMS</w:t>
            </w:r>
          </w:p>
        </w:tc>
        <w:tc>
          <w:tcPr>
            <w:tcW w:w="3676" w:type="dxa"/>
            <w:gridSpan w:val="3"/>
            <w:shd w:val="clear" w:color="auto" w:fill="E6E0EC" w:themeFill="accent4"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E6E0EC" w:themeFill="accent4" w:themeFillTint="32"/>
          </w:tcPr>
          <w:p>
            <w:pPr>
              <w:snapToGrid w:val="0"/>
              <w:spacing w:line="0" w:lineRule="atLeast"/>
              <w:jc w:val="left"/>
              <w:rPr>
                <w:rFonts w:cs="Arial"/>
                <w:b/>
                <w:bCs/>
                <w:sz w:val="22"/>
                <w:szCs w:val="16"/>
              </w:rPr>
            </w:pPr>
          </w:p>
        </w:tc>
        <w:tc>
          <w:tcPr>
            <w:tcW w:w="3373" w:type="dxa"/>
            <w:vMerge w:val="continue"/>
            <w:shd w:val="clear" w:color="auto" w:fill="E6E0EC" w:themeFill="accent4" w:themeFillTint="32"/>
          </w:tcPr>
          <w:p>
            <w:pPr>
              <w:snapToGrid w:val="0"/>
              <w:spacing w:line="0" w:lineRule="atLeast"/>
              <w:jc w:val="left"/>
              <w:rPr>
                <w:rFonts w:cs="Arial"/>
                <w:b/>
                <w:bCs/>
                <w:sz w:val="22"/>
                <w:szCs w:val="16"/>
              </w:rPr>
            </w:pPr>
          </w:p>
        </w:tc>
        <w:tc>
          <w:tcPr>
            <w:tcW w:w="1337" w:type="dxa"/>
            <w:shd w:val="clear" w:color="auto" w:fill="E6E0EC" w:themeFill="accent4" w:themeFillTint="32"/>
          </w:tcPr>
          <w:p>
            <w:pPr>
              <w:snapToGrid w:val="0"/>
              <w:spacing w:line="0" w:lineRule="atLeast"/>
              <w:jc w:val="left"/>
              <w:rPr>
                <w:sz w:val="22"/>
                <w:szCs w:val="22"/>
              </w:rPr>
            </w:pPr>
            <w:r>
              <w:rPr>
                <w:rFonts w:hint="eastAsia"/>
                <w:sz w:val="22"/>
                <w:szCs w:val="22"/>
              </w:rPr>
              <w:t>HACCP</w:t>
            </w:r>
          </w:p>
        </w:tc>
        <w:tc>
          <w:tcPr>
            <w:tcW w:w="3676" w:type="dxa"/>
            <w:gridSpan w:val="3"/>
            <w:shd w:val="clear" w:color="auto" w:fill="E6E0EC" w:themeFill="accent4" w:themeFillTint="32"/>
          </w:tcPr>
          <w:p>
            <w:pPr>
              <w:snapToGrid w:val="0"/>
              <w:spacing w:line="0" w:lineRule="atLeast"/>
              <w:jc w:val="left"/>
              <w:rPr>
                <w:sz w:val="22"/>
                <w:szCs w:val="22"/>
              </w:rPr>
            </w:pPr>
            <w:r>
              <w:rPr>
                <w:rFonts w:hint="eastAsia"/>
                <w:sz w:val="22"/>
                <w:szCs w:val="22"/>
              </w:rPr>
              <w:t xml:space="preserve">Production of </w:t>
            </w:r>
            <w:r>
              <w:rPr>
                <w:rFonts w:hint="eastAsia"/>
                <w:sz w:val="22"/>
                <w:szCs w:val="22"/>
                <w:lang w:val="en-US" w:eastAsia="zh-CN"/>
              </w:rPr>
              <w:t>C</w:t>
            </w:r>
            <w:r>
              <w:rPr>
                <w:rFonts w:hint="eastAsia"/>
                <w:sz w:val="22"/>
                <w:szCs w:val="22"/>
              </w:rPr>
              <w:t xml:space="preserve">anned </w:t>
            </w:r>
            <w:r>
              <w:rPr>
                <w:rFonts w:hint="eastAsia"/>
                <w:sz w:val="22"/>
                <w:szCs w:val="22"/>
                <w:lang w:val="en-US" w:eastAsia="zh-CN"/>
              </w:rPr>
              <w:t>F</w:t>
            </w:r>
            <w:r>
              <w:rPr>
                <w:rFonts w:hint="eastAsia"/>
                <w:sz w:val="22"/>
                <w:szCs w:val="22"/>
              </w:rPr>
              <w:t>ruit (</w:t>
            </w:r>
            <w:r>
              <w:rPr>
                <w:rFonts w:hint="eastAsia"/>
                <w:sz w:val="22"/>
                <w:szCs w:val="22"/>
                <w:lang w:val="en-US" w:eastAsia="zh-CN"/>
              </w:rPr>
              <w:t>C</w:t>
            </w:r>
            <w:r>
              <w:rPr>
                <w:rFonts w:hint="eastAsia"/>
                <w:sz w:val="22"/>
                <w:szCs w:val="22"/>
              </w:rPr>
              <w:t xml:space="preserve">anned </w:t>
            </w:r>
            <w:r>
              <w:rPr>
                <w:rFonts w:hint="eastAsia"/>
                <w:sz w:val="22"/>
                <w:szCs w:val="22"/>
                <w:lang w:val="en-US" w:eastAsia="zh-CN"/>
              </w:rPr>
              <w:t>Y</w:t>
            </w:r>
            <w:r>
              <w:rPr>
                <w:rFonts w:hint="eastAsia"/>
                <w:sz w:val="22"/>
                <w:szCs w:val="22"/>
              </w:rPr>
              <w:t xml:space="preserve">ellow </w:t>
            </w:r>
            <w:r>
              <w:rPr>
                <w:rFonts w:hint="eastAsia"/>
                <w:sz w:val="22"/>
                <w:szCs w:val="22"/>
                <w:lang w:val="en-US" w:eastAsia="zh-CN"/>
              </w:rPr>
              <w:t>P</w:t>
            </w:r>
            <w:r>
              <w:rPr>
                <w:rFonts w:hint="eastAsia"/>
                <w:sz w:val="22"/>
                <w:szCs w:val="22"/>
              </w:rPr>
              <w:t xml:space="preserve">each, </w:t>
            </w:r>
            <w:r>
              <w:rPr>
                <w:rFonts w:hint="eastAsia"/>
                <w:sz w:val="22"/>
                <w:szCs w:val="22"/>
                <w:lang w:val="en-US" w:eastAsia="zh-CN"/>
              </w:rPr>
              <w:t>C</w:t>
            </w:r>
            <w:r>
              <w:rPr>
                <w:rFonts w:hint="eastAsia"/>
                <w:sz w:val="22"/>
                <w:szCs w:val="22"/>
              </w:rPr>
              <w:t xml:space="preserve">anned </w:t>
            </w:r>
            <w:r>
              <w:rPr>
                <w:rFonts w:hint="eastAsia"/>
                <w:sz w:val="22"/>
                <w:szCs w:val="22"/>
                <w:lang w:val="en-US" w:eastAsia="zh-CN"/>
              </w:rPr>
              <w:t>C</w:t>
            </w:r>
            <w:r>
              <w:rPr>
                <w:rFonts w:hint="eastAsia"/>
                <w:sz w:val="22"/>
                <w:szCs w:val="22"/>
              </w:rPr>
              <w:t>itrus,</w:t>
            </w:r>
            <w:r>
              <w:rPr>
                <w:rFonts w:hint="eastAsia"/>
                <w:sz w:val="22"/>
                <w:szCs w:val="22"/>
                <w:lang w:val="en-US" w:eastAsia="zh-CN"/>
              </w:rPr>
              <w:t xml:space="preserve"> C</w:t>
            </w:r>
            <w:r>
              <w:rPr>
                <w:rFonts w:hint="eastAsia"/>
                <w:sz w:val="22"/>
                <w:szCs w:val="22"/>
              </w:rPr>
              <w:t xml:space="preserve">anned </w:t>
            </w:r>
            <w:r>
              <w:rPr>
                <w:rFonts w:hint="eastAsia"/>
                <w:sz w:val="22"/>
                <w:szCs w:val="22"/>
                <w:lang w:val="en-US" w:eastAsia="zh-CN"/>
              </w:rPr>
              <w:t>A</w:t>
            </w:r>
            <w:r>
              <w:rPr>
                <w:rFonts w:hint="eastAsia"/>
                <w:sz w:val="22"/>
                <w:szCs w:val="22"/>
              </w:rPr>
              <w:t xml:space="preserve">ssorted </w:t>
            </w:r>
            <w:r>
              <w:rPr>
                <w:rFonts w:hint="eastAsia"/>
                <w:sz w:val="22"/>
                <w:szCs w:val="22"/>
                <w:lang w:val="en-US" w:eastAsia="zh-CN"/>
              </w:rPr>
              <w:t>F</w:t>
            </w:r>
            <w:r>
              <w:rPr>
                <w:rFonts w:hint="eastAsia"/>
                <w:sz w:val="22"/>
                <w:szCs w:val="22"/>
              </w:rPr>
              <w:t xml:space="preserve">ood, </w:t>
            </w:r>
            <w:r>
              <w:rPr>
                <w:rFonts w:hint="eastAsia"/>
                <w:sz w:val="22"/>
                <w:szCs w:val="22"/>
                <w:lang w:val="en-US" w:eastAsia="zh-CN"/>
              </w:rPr>
              <w:t>C</w:t>
            </w:r>
            <w:r>
              <w:rPr>
                <w:rFonts w:hint="eastAsia"/>
                <w:sz w:val="22"/>
                <w:szCs w:val="22"/>
              </w:rPr>
              <w:t xml:space="preserve">anned </w:t>
            </w:r>
            <w:r>
              <w:rPr>
                <w:rFonts w:hint="eastAsia"/>
                <w:sz w:val="22"/>
                <w:szCs w:val="22"/>
                <w:lang w:val="en-US" w:eastAsia="zh-CN"/>
              </w:rPr>
              <w:t>L</w:t>
            </w:r>
            <w:r>
              <w:rPr>
                <w:rFonts w:hint="eastAsia"/>
                <w:sz w:val="22"/>
                <w:szCs w:val="22"/>
              </w:rPr>
              <w:t xml:space="preserve">oquat, </w:t>
            </w:r>
            <w:r>
              <w:rPr>
                <w:rFonts w:hint="eastAsia"/>
                <w:sz w:val="22"/>
                <w:szCs w:val="22"/>
                <w:lang w:val="en-US" w:eastAsia="zh-CN"/>
              </w:rPr>
              <w:t>C</w:t>
            </w:r>
            <w:r>
              <w:rPr>
                <w:rFonts w:hint="eastAsia"/>
                <w:sz w:val="22"/>
                <w:szCs w:val="22"/>
              </w:rPr>
              <w:t xml:space="preserve">anned </w:t>
            </w:r>
            <w:r>
              <w:rPr>
                <w:rFonts w:hint="eastAsia"/>
                <w:sz w:val="22"/>
                <w:szCs w:val="22"/>
                <w:lang w:val="en-US" w:eastAsia="zh-CN"/>
              </w:rPr>
              <w:t>B</w:t>
            </w:r>
            <w:r>
              <w:rPr>
                <w:rFonts w:hint="eastAsia"/>
                <w:sz w:val="22"/>
                <w:szCs w:val="22"/>
              </w:rPr>
              <w:t xml:space="preserve">ayberry) in the </w:t>
            </w:r>
            <w:r>
              <w:rPr>
                <w:rFonts w:hint="eastAsia"/>
                <w:sz w:val="22"/>
                <w:szCs w:val="22"/>
                <w:lang w:val="en-US" w:eastAsia="zh-CN"/>
              </w:rPr>
              <w:t>P</w:t>
            </w:r>
            <w:r>
              <w:rPr>
                <w:rFonts w:hint="eastAsia"/>
                <w:sz w:val="22"/>
                <w:szCs w:val="22"/>
              </w:rPr>
              <w:t xml:space="preserve">roduction </w:t>
            </w:r>
            <w:r>
              <w:rPr>
                <w:rFonts w:hint="eastAsia"/>
                <w:sz w:val="22"/>
                <w:szCs w:val="22"/>
                <w:lang w:val="en-US" w:eastAsia="zh-CN"/>
              </w:rPr>
              <w:t>W</w:t>
            </w:r>
            <w:r>
              <w:rPr>
                <w:rFonts w:hint="eastAsia"/>
                <w:sz w:val="22"/>
                <w:szCs w:val="22"/>
              </w:rPr>
              <w:t>orkshop of Zhejiang Tiantong Food Co., Ltd., located in Green Food Industrial Park, Majin Town, Kaihua County, Quzhou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097280" cy="617220"/>
                  <wp:effectExtent l="0" t="0" r="0" b="5080"/>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1097280" cy="617220"/>
                          </a:xfrm>
                          <a:prstGeom prst="rect">
                            <a:avLst/>
                          </a:prstGeom>
                        </pic:spPr>
                      </pic:pic>
                    </a:graphicData>
                  </a:graphic>
                </wp:inline>
              </w:drawing>
            </w:r>
          </w:p>
          <w:p>
            <w:pPr>
              <w:snapToGrid w:val="0"/>
              <w:spacing w:line="0" w:lineRule="atLeast"/>
              <w:jc w:val="left"/>
              <w:rPr>
                <w:rFonts w:hint="default" w:eastAsia="宋体"/>
                <w:sz w:val="22"/>
                <w:szCs w:val="22"/>
                <w:lang w:val="en-US" w:eastAsia="zh-CN"/>
              </w:rPr>
            </w:pPr>
            <w:r>
              <w:rPr>
                <w:rFonts w:hint="eastAsia"/>
                <w:sz w:val="22"/>
                <w:szCs w:val="22"/>
                <w:lang w:val="en-US" w:eastAsia="zh-CN"/>
              </w:rPr>
              <w:t>2022-06-13</w:t>
            </w:r>
            <w:bookmarkStart w:id="20" w:name="_GoBack"/>
            <w:bookmarkEnd w:id="20"/>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1F495AF3"/>
    <w:rsid w:val="4D8C1918"/>
    <w:rsid w:val="6B6B4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9</TotalTime>
  <ScaleCrop>false</ScaleCrop>
  <LinksUpToDate>false</LinksUpToDate>
  <CharactersWithSpaces>2588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2022-06-13T07:45:17Z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