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四川乐诚新材料有限公司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990"/>
        <w:gridCol w:w="144"/>
        <w:gridCol w:w="708"/>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673" w:type="dxa"/>
            <w:gridSpan w:val="5"/>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852" w:type="dxa"/>
            <w:gridSpan w:val="2"/>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gridSpan w:val="2"/>
            <w:vAlign w:val="center"/>
          </w:tcPr>
          <w:p>
            <w:pPr>
              <w:rPr>
                <w:b/>
                <w:color w:val="000000" w:themeColor="text1"/>
                <w:sz w:val="20"/>
                <w:szCs w:val="20"/>
              </w:rPr>
            </w:pPr>
            <w:r>
              <w:rPr>
                <w:rFonts w:hint="eastAsia"/>
                <w:b/>
                <w:color w:val="000000" w:themeColor="text1"/>
                <w:sz w:val="20"/>
                <w:szCs w:val="20"/>
              </w:rPr>
              <w:t>邮箱</w:t>
            </w:r>
          </w:p>
        </w:tc>
        <w:tc>
          <w:tcPr>
            <w:tcW w:w="2349" w:type="dxa"/>
            <w:gridSpan w:val="2"/>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318" w:type="dxa"/>
            <w:gridSpan w:val="2"/>
            <w:vAlign w:val="center"/>
          </w:tcPr>
          <w:p>
            <w:pPr>
              <w:spacing w:line="240" w:lineRule="exact"/>
              <w:jc w:val="center"/>
              <w:rPr>
                <w:b/>
                <w:color w:val="000000" w:themeColor="text1"/>
                <w:sz w:val="20"/>
                <w:szCs w:val="20"/>
              </w:rPr>
            </w:pPr>
            <w:r>
              <w:rPr>
                <w:rFonts w:hint="eastAsia"/>
                <w:sz w:val="18"/>
                <w:szCs w:val="18"/>
              </w:rPr>
              <w:t>注册资格</w:t>
            </w:r>
          </w:p>
        </w:tc>
        <w:tc>
          <w:tcPr>
            <w:tcW w:w="2493" w:type="dxa"/>
            <w:gridSpan w:val="3"/>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318" w:type="dxa"/>
            <w:gridSpan w:val="2"/>
            <w:vAlign w:val="center"/>
          </w:tcPr>
          <w:p>
            <w:pPr>
              <w:spacing w:line="240" w:lineRule="exact"/>
              <w:jc w:val="center"/>
              <w:rPr>
                <w:b/>
                <w:color w:val="000000" w:themeColor="text1"/>
                <w:sz w:val="20"/>
                <w:szCs w:val="20"/>
              </w:rPr>
            </w:pPr>
            <w:r>
              <w:rPr>
                <w:b/>
                <w:color w:val="000000" w:themeColor="text1"/>
                <w:sz w:val="20"/>
                <w:szCs w:val="20"/>
              </w:rPr>
              <w:t>审核员</w:t>
            </w:r>
          </w:p>
        </w:tc>
        <w:tc>
          <w:tcPr>
            <w:tcW w:w="2493" w:type="dxa"/>
            <w:gridSpan w:val="3"/>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赵勋平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318" w:type="dxa"/>
            <w:gridSpan w:val="2"/>
            <w:vAlign w:val="center"/>
          </w:tcPr>
          <w:p>
            <w:pPr>
              <w:spacing w:line="240" w:lineRule="exact"/>
              <w:jc w:val="center"/>
              <w:rPr>
                <w:b/>
                <w:color w:val="000000" w:themeColor="text1"/>
                <w:sz w:val="20"/>
                <w:szCs w:val="20"/>
              </w:rPr>
            </w:pPr>
            <w:r>
              <w:rPr>
                <w:b/>
                <w:color w:val="000000" w:themeColor="text1"/>
                <w:sz w:val="20"/>
                <w:szCs w:val="20"/>
              </w:rPr>
              <w:t>专家</w:t>
            </w:r>
          </w:p>
          <w:p>
            <w:pPr>
              <w:spacing w:line="240" w:lineRule="exact"/>
              <w:jc w:val="center"/>
              <w:rPr>
                <w:b/>
                <w:color w:val="000000" w:themeColor="text1"/>
                <w:sz w:val="20"/>
                <w:szCs w:val="20"/>
              </w:rPr>
            </w:pPr>
          </w:p>
        </w:tc>
        <w:tc>
          <w:tcPr>
            <w:tcW w:w="2493" w:type="dxa"/>
            <w:gridSpan w:val="3"/>
            <w:vAlign w:val="center"/>
          </w:tcPr>
          <w:p>
            <w:pPr>
              <w:spacing w:line="240" w:lineRule="exact"/>
              <w:jc w:val="center"/>
              <w:rPr>
                <w:b/>
                <w:color w:val="000000" w:themeColor="text1"/>
                <w:sz w:val="20"/>
                <w:szCs w:val="20"/>
              </w:rPr>
            </w:pPr>
            <w:r>
              <w:rPr>
                <w:b/>
                <w:color w:val="000000" w:themeColor="text1"/>
                <w:sz w:val="20"/>
                <w:szCs w:val="20"/>
              </w:rPr>
              <w:t>12.03.00,12.05.02,16.02.04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318" w:type="dxa"/>
            <w:gridSpan w:val="2"/>
            <w:vAlign w:val="center"/>
          </w:tcPr>
          <w:p>
            <w:pPr>
              <w:rPr>
                <w:b/>
                <w:color w:val="000000" w:themeColor="text1"/>
                <w:sz w:val="20"/>
                <w:szCs w:val="20"/>
              </w:rPr>
            </w:pPr>
          </w:p>
        </w:tc>
        <w:tc>
          <w:tcPr>
            <w:tcW w:w="2493" w:type="dxa"/>
            <w:gridSpan w:val="3"/>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318" w:type="dxa"/>
            <w:gridSpan w:val="2"/>
            <w:vAlign w:val="center"/>
          </w:tcPr>
          <w:p>
            <w:pPr>
              <w:rPr>
                <w:b/>
                <w:color w:val="000000" w:themeColor="text1"/>
                <w:sz w:val="20"/>
                <w:szCs w:val="20"/>
              </w:rPr>
            </w:pPr>
          </w:p>
        </w:tc>
        <w:tc>
          <w:tcPr>
            <w:tcW w:w="2493" w:type="dxa"/>
            <w:gridSpan w:val="3"/>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318" w:type="dxa"/>
            <w:gridSpan w:val="2"/>
            <w:vAlign w:val="center"/>
          </w:tcPr>
          <w:p>
            <w:pPr>
              <w:rPr>
                <w:b/>
                <w:color w:val="000000" w:themeColor="text1"/>
                <w:sz w:val="20"/>
                <w:szCs w:val="20"/>
              </w:rPr>
            </w:pPr>
          </w:p>
        </w:tc>
        <w:tc>
          <w:tcPr>
            <w:tcW w:w="2493" w:type="dxa"/>
            <w:gridSpan w:val="3"/>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318" w:type="dxa"/>
            <w:gridSpan w:val="2"/>
            <w:vAlign w:val="center"/>
          </w:tcPr>
          <w:p>
            <w:pPr>
              <w:rPr>
                <w:b/>
                <w:color w:val="000000" w:themeColor="text1"/>
                <w:sz w:val="20"/>
                <w:szCs w:val="20"/>
              </w:rPr>
            </w:pPr>
            <w:r>
              <w:rPr>
                <w:rFonts w:hint="eastAsia"/>
                <w:b/>
                <w:color w:val="000000" w:themeColor="text1"/>
                <w:sz w:val="20"/>
                <w:szCs w:val="20"/>
              </w:rPr>
              <w:t>工作单位</w:t>
            </w:r>
          </w:p>
        </w:tc>
        <w:tc>
          <w:tcPr>
            <w:tcW w:w="2493" w:type="dxa"/>
            <w:gridSpan w:val="3"/>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318" w:type="dxa"/>
            <w:gridSpan w:val="2"/>
            <w:vAlign w:val="center"/>
          </w:tcPr>
          <w:p>
            <w:pPr>
              <w:rPr>
                <w:b/>
                <w:color w:val="000000" w:themeColor="text1"/>
              </w:rPr>
            </w:pPr>
          </w:p>
        </w:tc>
        <w:tc>
          <w:tcPr>
            <w:tcW w:w="2493" w:type="dxa"/>
            <w:gridSpan w:val="3"/>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318" w:type="dxa"/>
            <w:gridSpan w:val="2"/>
            <w:vAlign w:val="center"/>
          </w:tcPr>
          <w:p>
            <w:pPr>
              <w:rPr>
                <w:b/>
                <w:color w:val="000000" w:themeColor="text1"/>
              </w:rPr>
            </w:pPr>
          </w:p>
        </w:tc>
        <w:tc>
          <w:tcPr>
            <w:tcW w:w="2493" w:type="dxa"/>
            <w:gridSpan w:val="3"/>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 19001-2016idtISO 9001:2015</w:t>
      </w:r>
      <w:bookmarkEnd w:id="4"/>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四川乐诚新材料有限公司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成都市青白江区工业集中发展区向阳路666号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610300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jc w:val="center"/>
              <w:rPr>
                <w:rFonts w:ascii="宋体" w:hAnsi="宋体"/>
                <w:b/>
                <w:color w:val="000000" w:themeColor="text1"/>
                <w:sz w:val="20"/>
                <w:szCs w:val="20"/>
              </w:rPr>
            </w:pPr>
            <w:bookmarkStart w:id="9" w:name="办公地址"/>
            <w:r>
              <w:rPr>
                <w:rFonts w:ascii="宋体" w:hAnsi="宋体"/>
                <w:b/>
                <w:color w:val="000000" w:themeColor="text1"/>
                <w:sz w:val="20"/>
                <w:szCs w:val="20"/>
              </w:rPr>
              <w:t>成都市青白江区工业集中发展区向阳路666号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610300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戢焕俊</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13438483236</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黄富</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jc w:val="center"/>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黄富</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戢焕俊</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水性涂料(不含危险品）、胶粘剂、干粉腻子、砂浆的生产</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12.03.00;12.05.02;16.02.04</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2019-04-05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生</w:t>
            </w:r>
            <w:r>
              <w:rPr>
                <w:rFonts w:hint="eastAsia" w:ascii="宋体" w:hAnsi="宋体"/>
                <w:b/>
                <w:color w:val="000000" w:themeColor="text1"/>
                <w:sz w:val="20"/>
                <w:szCs w:val="20"/>
                <w:lang w:eastAsia="zh-CN"/>
              </w:rPr>
              <w:t>产</w:t>
            </w:r>
            <w:r>
              <w:rPr>
                <w:rFonts w:hint="eastAsia" w:ascii="宋体" w:hAnsi="宋体"/>
                <w:b/>
                <w:color w:val="000000" w:themeColor="text1"/>
                <w:sz w:val="20"/>
                <w:szCs w:val="20"/>
                <w:lang w:val="en-US" w:eastAsia="zh-CN"/>
              </w:rPr>
              <w:t>技术</w:t>
            </w:r>
            <w:r>
              <w:rPr>
                <w:rFonts w:hint="eastAsia" w:ascii="宋体" w:hAnsi="宋体"/>
                <w:b/>
                <w:color w:val="000000" w:themeColor="text1"/>
                <w:sz w:val="20"/>
                <w:szCs w:val="20"/>
                <w:lang w:eastAsia="zh-CN"/>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市场</w:t>
            </w:r>
            <w:r>
              <w:rPr>
                <w:rFonts w:hint="eastAsia" w:ascii="宋体" w:hAnsi="宋体"/>
                <w:b/>
                <w:color w:val="000000" w:themeColor="text1"/>
                <w:sz w:val="20"/>
                <w:szCs w:val="20"/>
              </w:rPr>
              <w:t>部</w:t>
            </w:r>
          </w:p>
        </w:tc>
        <w:tc>
          <w:tcPr>
            <w:tcW w:w="6804" w:type="dxa"/>
            <w:vAlign w:val="top"/>
          </w:tcPr>
          <w:p>
            <w:pPr>
              <w:jc w:val="left"/>
              <w:rPr>
                <w:rFonts w:hint="default"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合同管理；采购管理；</w:t>
            </w:r>
            <w:r>
              <w:rPr>
                <w:rFonts w:hint="eastAsia" w:ascii="宋体" w:hAnsi="宋体"/>
                <w:b/>
                <w:color w:val="000000" w:themeColor="text1"/>
                <w:sz w:val="20"/>
                <w:szCs w:val="20"/>
                <w:lang w:val="en-US" w:eastAsia="zh-CN"/>
              </w:rPr>
              <w:t>顾客满意度。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b/>
          <w:color w:val="000000" w:themeColor="text1"/>
          <w:szCs w:val="21"/>
          <w:u w:val="single"/>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 xml:space="preserve">水性涂料(不含危险品）、胶粘剂、干粉腻子、砂浆的生产 </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rFonts w:hint="default" w:eastAsia="宋体"/>
          <w:b/>
          <w:color w:val="000000" w:themeColor="text1"/>
          <w:spacing w:val="-10"/>
          <w:szCs w:val="21"/>
          <w:lang w:val="en-US" w:eastAsia="zh-CN"/>
        </w:rPr>
      </w:pPr>
      <w:r>
        <w:rPr>
          <w:rFonts w:hint="eastAsia"/>
          <w:b/>
          <w:color w:val="000000" w:themeColor="text1"/>
          <w:spacing w:val="-10"/>
          <w:szCs w:val="21"/>
        </w:rPr>
        <w:t>□体系运行开始的</w:t>
      </w:r>
      <w:r>
        <w:rPr>
          <w:rFonts w:hint="eastAsia"/>
          <w:b/>
          <w:color w:val="000000" w:themeColor="text1"/>
          <w:spacing w:val="-10"/>
          <w:szCs w:val="21"/>
          <w:lang w:val="en-US" w:eastAsia="zh-CN"/>
        </w:rPr>
        <w:t>2019年04月05日至2019年12月27日。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pPr w:leftFromText="180" w:rightFromText="180" w:vertAnchor="text" w:horzAnchor="page" w:tblpX="994" w:tblpY="610"/>
        <w:tblOverlap w:val="never"/>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numPr>
                <w:ilvl w:val="0"/>
                <w:numId w:val="0"/>
              </w:numPr>
              <w:spacing w:line="280" w:lineRule="exact"/>
              <w:ind w:firstLine="210" w:firstLineChars="100"/>
              <w:rPr>
                <w:rFonts w:hint="eastAsia" w:eastAsia="宋体"/>
                <w:b/>
                <w:color w:val="000000" w:themeColor="text1"/>
                <w:lang w:val="en-US" w:eastAsia="zh-CN"/>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质量第一、降本增效、精益求精、持续改进</w:t>
            </w:r>
            <w:r>
              <w:rPr>
                <w:rFonts w:hint="eastAsia" w:ascii="宋体" w:hAnsi="宋体"/>
                <w:color w:val="000000" w:themeColor="text1"/>
                <w:lang w:eastAsia="zh-CN"/>
              </w:rPr>
              <w:t xml:space="preserve"> </w:t>
            </w:r>
            <w:r>
              <w:rPr>
                <w:rFonts w:hint="eastAsia" w:ascii="宋体" w:hAnsi="宋体"/>
                <w:color w:val="000000" w:themeColor="text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hint="eastAsia" w:ascii="宋体" w:hAnsi="宋体"/>
                <w:szCs w:val="21"/>
              </w:rPr>
            </w:pPr>
            <w:r>
              <w:rPr>
                <w:rFonts w:hint="eastAsia" w:ascii="宋体" w:hAnsi="宋体"/>
                <w:b/>
                <w:color w:val="000000" w:themeColor="text1"/>
                <w:sz w:val="20"/>
                <w:szCs w:val="20"/>
              </w:rPr>
              <w:t>质量管理体系过程有：</w:t>
            </w:r>
            <w:r>
              <w:rPr>
                <w:rFonts w:hint="eastAsia" w:ascii="宋体" w:hAnsi="宋体"/>
                <w:szCs w:val="21"/>
              </w:rPr>
              <w:t xml:space="preserve">水性涂料(不含危险品）、胶粘剂、干粉腻子、砂浆的生产 </w:t>
            </w:r>
          </w:p>
          <w:p>
            <w:pPr>
              <w:tabs>
                <w:tab w:val="left" w:pos="540"/>
              </w:tabs>
              <w:spacing w:line="300" w:lineRule="exact"/>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hint="default" w:ascii="宋体" w:eastAsia="宋体"/>
                <w:sz w:val="24"/>
                <w:szCs w:val="22"/>
                <w:highlight w:val="none"/>
                <w:lang w:val="en-US" w:eastAsia="zh-CN"/>
              </w:rPr>
            </w:pPr>
            <w:r>
              <w:rPr>
                <w:rFonts w:hint="eastAsia" w:ascii="宋体" w:hAnsi="宋体"/>
                <w:b/>
                <w:color w:val="000000" w:themeColor="text1"/>
                <w:sz w:val="20"/>
                <w:szCs w:val="20"/>
                <w:highlight w:val="none"/>
              </w:rPr>
              <w:t>需要确认过程：</w:t>
            </w:r>
            <w:r>
              <w:rPr>
                <w:rFonts w:hint="eastAsia" w:ascii="宋体"/>
                <w:sz w:val="24"/>
                <w:szCs w:val="22"/>
                <w:highlight w:val="none"/>
              </w:rPr>
              <w:t xml:space="preserve"> </w:t>
            </w:r>
            <w:r>
              <w:rPr>
                <w:rFonts w:hint="eastAsia" w:ascii="宋体"/>
                <w:sz w:val="24"/>
                <w:szCs w:val="22"/>
                <w:highlight w:val="none"/>
                <w:lang w:val="en-US" w:eastAsia="zh-CN"/>
              </w:rPr>
              <w:t>配料过程</w:t>
            </w:r>
          </w:p>
          <w:p>
            <w:pPr>
              <w:tabs>
                <w:tab w:val="left" w:pos="540"/>
              </w:tabs>
              <w:spacing w:line="300" w:lineRule="exact"/>
              <w:ind w:left="201" w:hanging="201" w:hangingChars="100"/>
              <w:rPr>
                <w:rFonts w:ascii="宋体" w:hAnsi="宋体"/>
                <w:b/>
                <w:color w:val="000000" w:themeColor="text1"/>
                <w:szCs w:val="21"/>
              </w:rPr>
            </w:pPr>
            <w:r>
              <w:rPr>
                <w:rFonts w:ascii="宋体" w:hAnsi="宋体"/>
                <w:b/>
                <w:color w:val="000000" w:themeColor="text1"/>
                <w:sz w:val="20"/>
                <w:szCs w:val="20"/>
                <w:highlight w:val="none"/>
              </w:rPr>
              <w:pict>
                <v:shape id="_x0000_s2051" o:spid="_x0000_s2051" o:spt="32" type="#_x0000_t32" style="position:absolute;left:0pt;margin-left:55.15pt;margin-top:12.75pt;height:0pt;width:42pt;z-index:251672576;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highlight w:val="none"/>
              </w:rPr>
              <w:t xml:space="preserve">不适用条款是 </w:t>
            </w:r>
            <w:r>
              <w:rPr>
                <w:rFonts w:hint="eastAsia" w:ascii="宋体" w:hAnsi="宋体" w:cs="宋体"/>
                <w:sz w:val="21"/>
                <w:szCs w:val="21"/>
                <w:highlight w:val="none"/>
              </w:rPr>
              <w:t>8</w:t>
            </w:r>
            <w:r>
              <w:rPr>
                <w:rFonts w:hint="eastAsia" w:ascii="宋体" w:hAnsi="宋体"/>
                <w:b/>
                <w:color w:val="000000" w:themeColor="text1"/>
                <w:sz w:val="20"/>
                <w:szCs w:val="20"/>
                <w:highlight w:val="none"/>
              </w:rPr>
              <w:t>.3    ，不适用理由：</w:t>
            </w:r>
            <w:r>
              <w:rPr>
                <w:rFonts w:hint="eastAsia" w:ascii="宋体" w:hAnsi="宋体" w:cs="Times New Roman"/>
                <w:color w:val="000000"/>
                <w:szCs w:val="21"/>
                <w:u w:val="single"/>
                <w:lang w:val="en-US" w:eastAsia="zh-CN"/>
              </w:rPr>
              <w:t>公司</w:t>
            </w:r>
            <w:r>
              <w:rPr>
                <w:rFonts w:hint="eastAsia" w:ascii="宋体" w:hAnsi="宋体"/>
                <w:szCs w:val="21"/>
                <w:u w:val="single"/>
              </w:rPr>
              <w:t>水性涂料(不含危险品）、胶粘剂、干粉腻子、砂浆的生产</w:t>
            </w:r>
            <w:r>
              <w:rPr>
                <w:rFonts w:hint="eastAsia" w:ascii="宋体" w:hAnsi="宋体" w:cs="Times New Roman"/>
                <w:color w:val="000000"/>
                <w:szCs w:val="21"/>
                <w:u w:val="single"/>
                <w:lang w:val="en-US" w:eastAsia="zh-CN"/>
              </w:rPr>
              <w:t>依据国家成熟工艺，模式固定,按国家规定的生产技术要求生产,因此标准8.3条款“产品和服务的设计和开发”要求不适用。</w:t>
            </w:r>
            <w:r>
              <w:rPr>
                <w:rFonts w:hint="eastAsia" w:ascii="宋体" w:hAnsi="宋体" w:cs="宋体"/>
                <w:sz w:val="21"/>
                <w:szCs w:val="21"/>
                <w:u w:val="single"/>
              </w:rPr>
              <w:t>，不适用</w:t>
            </w:r>
            <w:r>
              <w:rPr>
                <w:rFonts w:hint="eastAsia" w:ascii="宋体" w:hAnsi="宋体" w:cs="宋体"/>
                <w:sz w:val="21"/>
                <w:szCs w:val="21"/>
                <w:u w:val="single"/>
                <w:lang w:eastAsia="zh-CN"/>
              </w:rPr>
              <w:t>理由</w:t>
            </w:r>
            <w:r>
              <w:rPr>
                <w:rFonts w:hint="eastAsia" w:ascii="宋体" w:hAnsi="宋体" w:cs="宋体"/>
                <w:sz w:val="21"/>
                <w:szCs w:val="21"/>
                <w:u w:val="single"/>
              </w:rPr>
              <w:t xml:space="preserve">合理。 </w:t>
            </w:r>
            <w:r>
              <w:rPr>
                <w:rFonts w:hint="eastAsia" w:ascii="宋体" w:hAnsi="宋体" w:cs="宋体"/>
                <w:sz w:val="21"/>
                <w:szCs w:val="21"/>
              </w:rPr>
              <w:t xml:space="preserve">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trPr>
        <w:tc>
          <w:tcPr>
            <w:tcW w:w="720" w:type="dxa"/>
            <w:vMerge w:val="continue"/>
            <w:vAlign w:val="center"/>
          </w:tcPr>
          <w:p>
            <w:pPr>
              <w:spacing w:line="240" w:lineRule="exact"/>
              <w:jc w:val="center"/>
              <w:rPr>
                <w:b/>
                <w:color w:val="000000" w:themeColor="text1"/>
                <w:sz w:val="20"/>
              </w:rPr>
            </w:pPr>
          </w:p>
        </w:tc>
        <w:tc>
          <w:tcPr>
            <w:tcW w:w="9198" w:type="dxa"/>
          </w:tcPr>
          <w:p>
            <w:pPr>
              <w:tabs>
                <w:tab w:val="left" w:pos="540"/>
              </w:tabs>
              <w:spacing w:line="300" w:lineRule="exact"/>
              <w:rPr>
                <w:rFonts w:ascii="宋体" w:hAnsi="宋体"/>
                <w:b/>
                <w:color w:val="000000" w:themeColor="text1"/>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numPr>
                <w:ilvl w:val="0"/>
                <w:numId w:val="3"/>
              </w:numPr>
              <w:tabs>
                <w:tab w:val="left" w:pos="540"/>
              </w:tabs>
              <w:spacing w:line="300" w:lineRule="exact"/>
              <w:rPr>
                <w:rFonts w:hint="eastAsia"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0"/>
              <w:numPr>
                <w:ilvl w:val="0"/>
                <w:numId w:val="0"/>
              </w:numPr>
              <w:tabs>
                <w:tab w:val="left" w:pos="540"/>
              </w:tabs>
              <w:spacing w:line="300" w:lineRule="exact"/>
              <w:ind w:leftChars="0"/>
              <w:rPr>
                <w:rFonts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2</w:t>
            </w:r>
            <w:r>
              <w:rPr>
                <w:rFonts w:hint="eastAsia" w:ascii="宋体" w:hAnsi="宋体"/>
                <w:b/>
                <w:color w:val="000000" w:themeColor="text1"/>
                <w:szCs w:val="21"/>
                <w:lang w:eastAsia="zh-CN"/>
              </w:rPr>
              <w:t>）</w:t>
            </w: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0"/>
              <w:numPr>
                <w:ilvl w:val="0"/>
                <w:numId w:val="0"/>
              </w:numPr>
              <w:tabs>
                <w:tab w:val="left" w:pos="540"/>
              </w:tabs>
              <w:spacing w:line="300" w:lineRule="exact"/>
              <w:ind w:leftChars="0"/>
              <w:rPr>
                <w:rFonts w:hint="eastAsia"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3</w:t>
            </w:r>
            <w:r>
              <w:rPr>
                <w:rFonts w:hint="eastAsia" w:ascii="宋体" w:hAnsi="宋体"/>
                <w:b/>
                <w:color w:val="000000" w:themeColor="text1"/>
                <w:szCs w:val="21"/>
                <w:lang w:eastAsia="zh-CN"/>
              </w:rPr>
              <w:t>）</w:t>
            </w:r>
            <w:r>
              <w:rPr>
                <w:rFonts w:hint="eastAsia" w:ascii="宋体" w:hAnsi="宋体"/>
                <w:b/>
                <w:color w:val="000000" w:themeColor="text1"/>
                <w:szCs w:val="21"/>
              </w:rPr>
              <w:t>法律法规的宣传方式：培训、会议、张贴。</w:t>
            </w:r>
          </w:p>
          <w:p>
            <w:pPr>
              <w:pStyle w:val="10"/>
              <w:numPr>
                <w:ilvl w:val="0"/>
                <w:numId w:val="0"/>
              </w:numPr>
              <w:tabs>
                <w:tab w:val="left" w:pos="540"/>
              </w:tabs>
              <w:spacing w:line="300" w:lineRule="exact"/>
              <w:ind w:leftChars="0"/>
              <w:rPr>
                <w:rFonts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4</w:t>
            </w:r>
            <w:r>
              <w:rPr>
                <w:rFonts w:hint="eastAsia" w:ascii="宋体" w:hAnsi="宋体"/>
                <w:b/>
                <w:color w:val="000000" w:themeColor="text1"/>
                <w:szCs w:val="21"/>
                <w:lang w:eastAsia="zh-CN"/>
              </w:rPr>
              <w:t>）</w:t>
            </w: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lang w:val="en-US" w:eastAsia="zh-CN"/>
              </w:rPr>
            </w:pPr>
            <w:r>
              <w:rPr>
                <w:rFonts w:hint="eastAsia" w:ascii="宋体" w:hAnsi="宋体" w:cs="宋体"/>
                <w:color w:val="000000"/>
                <w:kern w:val="0"/>
                <w:szCs w:val="21"/>
              </w:rPr>
              <w:t>质量目标</w:t>
            </w:r>
            <w:r>
              <w:rPr>
                <w:rFonts w:hint="eastAsia" w:ascii="宋体" w:hAnsi="宋体" w:cs="宋体"/>
                <w:color w:val="000000"/>
                <w:kern w:val="0"/>
                <w:szCs w:val="21"/>
                <w:lang w:val="en-US" w:eastAsia="zh-CN"/>
              </w:rPr>
              <w:t>：</w:t>
            </w:r>
          </w:p>
          <w:p>
            <w:pPr>
              <w:spacing w:line="360" w:lineRule="auto"/>
              <w:jc w:val="left"/>
              <w:rPr>
                <w:rFonts w:hint="eastAsia" w:ascii="宋体" w:hAnsi="宋体" w:cs="宋体"/>
                <w:color w:val="000000"/>
                <w:szCs w:val="24"/>
              </w:rPr>
            </w:pPr>
            <w:r>
              <w:rPr>
                <w:rFonts w:hint="eastAsia" w:ascii="宋体" w:hAnsi="宋体" w:cs="宋体"/>
                <w:color w:val="000000"/>
                <w:szCs w:val="24"/>
                <w:lang w:val="en-US" w:eastAsia="zh-CN"/>
              </w:rPr>
              <w:t>1、</w:t>
            </w:r>
            <w:r>
              <w:rPr>
                <w:rFonts w:hint="eastAsia" w:ascii="宋体" w:hAnsi="宋体" w:cs="宋体"/>
                <w:color w:val="000000"/>
                <w:szCs w:val="24"/>
              </w:rPr>
              <w:t>产品出厂合格率</w:t>
            </w:r>
            <w:r>
              <w:rPr>
                <w:rFonts w:hint="eastAsia" w:ascii="宋体" w:hAnsi="宋体" w:cs="宋体"/>
                <w:color w:val="000000"/>
                <w:szCs w:val="24"/>
                <w:lang w:val="en-US" w:eastAsia="zh-CN"/>
              </w:rPr>
              <w:t>达到</w:t>
            </w:r>
            <w:r>
              <w:rPr>
                <w:rFonts w:hint="eastAsia" w:ascii="宋体" w:hAnsi="宋体" w:cs="宋体"/>
                <w:color w:val="000000"/>
                <w:szCs w:val="24"/>
              </w:rPr>
              <w:t>100%</w:t>
            </w:r>
          </w:p>
          <w:p>
            <w:pPr>
              <w:spacing w:line="360" w:lineRule="auto"/>
              <w:jc w:val="left"/>
              <w:rPr>
                <w:rFonts w:ascii="宋体" w:hAnsi="宋体"/>
                <w:b/>
                <w:color w:val="000000" w:themeColor="text1"/>
              </w:rPr>
            </w:pPr>
            <w:r>
              <w:rPr>
                <w:rFonts w:hint="eastAsia" w:ascii="宋体" w:hAnsi="宋体" w:cs="宋体"/>
                <w:color w:val="000000"/>
                <w:szCs w:val="24"/>
                <w:lang w:val="en-US" w:eastAsia="zh-CN"/>
              </w:rPr>
              <w:t>2</w:t>
            </w:r>
            <w:r>
              <w:rPr>
                <w:rFonts w:hint="eastAsia" w:ascii="宋体" w:hAnsi="宋体" w:cs="宋体"/>
                <w:color w:val="000000"/>
                <w:szCs w:val="24"/>
                <w:lang w:eastAsia="zh-CN"/>
              </w:rPr>
              <w:t>、</w:t>
            </w:r>
            <w:r>
              <w:rPr>
                <w:rFonts w:hint="eastAsia" w:ascii="宋体" w:hAnsi="宋体" w:cs="宋体"/>
                <w:color w:val="000000"/>
                <w:szCs w:val="24"/>
              </w:rPr>
              <w:t>顾客满意度≥95%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19</w:t>
            </w:r>
            <w:r>
              <w:rPr>
                <w:rFonts w:hint="eastAsia" w:ascii="宋体" w:hAnsi="宋体" w:cs="宋体"/>
                <w:color w:val="000000" w:themeColor="text1"/>
              </w:rPr>
              <w:t>年</w:t>
            </w:r>
            <w:r>
              <w:rPr>
                <w:rFonts w:hint="eastAsia" w:ascii="宋体" w:hAnsi="宋体" w:cs="宋体"/>
                <w:color w:val="000000" w:themeColor="text1"/>
                <w:lang w:val="en-US" w:eastAsia="zh-CN"/>
              </w:rPr>
              <w:t>4</w:t>
            </w:r>
            <w:r>
              <w:rPr>
                <w:rFonts w:hint="eastAsia" w:ascii="宋体" w:hAnsi="宋体" w:cs="宋体"/>
                <w:color w:val="000000" w:themeColor="text1"/>
              </w:rPr>
              <w:t>月</w:t>
            </w:r>
            <w:r>
              <w:rPr>
                <w:rFonts w:hint="eastAsia" w:ascii="宋体" w:hAnsi="宋体" w:cs="宋体"/>
                <w:color w:val="000000" w:themeColor="text1"/>
                <w:lang w:val="en-US" w:eastAsia="zh-CN"/>
              </w:rPr>
              <w:t>5</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产品</w:t>
            </w:r>
            <w:r>
              <w:rPr>
                <w:rFonts w:hint="eastAsia" w:ascii="宋体" w:hAnsi="宋体"/>
                <w:szCs w:val="21"/>
              </w:rPr>
              <w:t>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420" w:firstLineChars="200"/>
              <w:rPr>
                <w:rFonts w:ascii="宋体" w:hAnsi="宋体"/>
                <w:b/>
                <w:color w:val="000000" w:themeColor="text1"/>
                <w:sz w:val="20"/>
                <w:szCs w:val="20"/>
              </w:rPr>
            </w:pPr>
            <w:r>
              <w:rPr>
                <w:rFonts w:hint="eastAsia" w:ascii="宋体" w:hAnsi="宋体"/>
                <w:bCs/>
                <w:iCs/>
                <w:highlight w:val="none"/>
              </w:rPr>
              <w:t>厂房面积</w:t>
            </w:r>
            <w:r>
              <w:rPr>
                <w:rFonts w:hint="eastAsia" w:ascii="宋体" w:hAnsi="宋体"/>
                <w:bCs/>
                <w:iCs/>
                <w:highlight w:val="none"/>
                <w:lang w:val="en-US" w:eastAsia="zh-CN"/>
              </w:rPr>
              <w:t>5000</w:t>
            </w:r>
            <w:r>
              <w:rPr>
                <w:rFonts w:hint="eastAsia" w:ascii="宋体" w:hAnsi="宋体"/>
                <w:bCs/>
                <w:iCs/>
                <w:highlight w:val="none"/>
              </w:rPr>
              <w:t>平方</w:t>
            </w:r>
            <w:r>
              <w:rPr>
                <w:rFonts w:hint="eastAsia" w:ascii="宋体" w:hAnsi="宋体" w:cs="Times New Roman"/>
                <w:bCs/>
                <w:iCs/>
                <w:highlight w:val="none"/>
              </w:rPr>
              <w:t>米左右，库房</w:t>
            </w:r>
            <w:r>
              <w:rPr>
                <w:rFonts w:hint="eastAsia" w:ascii="宋体" w:hAnsi="宋体" w:cs="Times New Roman"/>
                <w:bCs/>
                <w:iCs/>
                <w:highlight w:val="none"/>
                <w:lang w:eastAsia="zh-CN"/>
              </w:rPr>
              <w:t>与生产场所分区</w:t>
            </w:r>
            <w:r>
              <w:rPr>
                <w:rFonts w:hint="eastAsia" w:ascii="宋体" w:hAnsi="宋体" w:cs="Times New Roman"/>
                <w:bCs/>
                <w:iCs/>
                <w:highlight w:val="none"/>
              </w:rPr>
              <w:t>，办公场所面积</w:t>
            </w:r>
            <w:r>
              <w:rPr>
                <w:rFonts w:hint="eastAsia" w:ascii="宋体" w:hAnsi="宋体" w:cs="Times New Roman"/>
                <w:bCs/>
                <w:iCs/>
                <w:highlight w:val="none"/>
                <w:lang w:val="en-US" w:eastAsia="zh-CN"/>
              </w:rPr>
              <w:t>300</w:t>
            </w:r>
            <w:r>
              <w:rPr>
                <w:rFonts w:hint="eastAsia" w:ascii="宋体" w:hAnsi="宋体" w:cs="Times New Roman"/>
                <w:bCs/>
                <w:iCs/>
                <w:highlight w:val="none"/>
              </w:rPr>
              <w:t>平方米左右.主要生产设备包括</w:t>
            </w:r>
            <w:r>
              <w:rPr>
                <w:rFonts w:hint="eastAsia" w:ascii="宋体" w:hAnsi="宋体" w:cs="Times New Roman"/>
                <w:bCs/>
                <w:iCs/>
                <w:highlight w:val="none"/>
                <w:lang w:eastAsia="zh-CN"/>
              </w:rPr>
              <w:t>：</w:t>
            </w:r>
            <w:r>
              <w:rPr>
                <w:rFonts w:hint="eastAsia" w:ascii="宋体" w:hAnsi="宋体" w:cs="Times New Roman"/>
                <w:bCs/>
                <w:iCs/>
                <w:highlight w:val="none"/>
                <w:lang w:val="en-US" w:eastAsia="zh-CN"/>
              </w:rPr>
              <w:t>脉冲布袋除尘器、叶轮包装机、码垛机器人、高效梨刀式混合机、震动筛机、粉料罐体、罐体搅拌机、高温反应釜、胶水罐、蒸汽锅炉、变频分散机、传福压滤机等</w:t>
            </w:r>
            <w:r>
              <w:rPr>
                <w:rFonts w:hint="eastAsia" w:ascii="宋体" w:hAnsi="宋体" w:cs="Times New Roman"/>
                <w:bCs/>
                <w:iCs/>
                <w:highlight w:val="none"/>
                <w:lang w:eastAsia="zh-CN"/>
              </w:rPr>
              <w:t>，可以</w:t>
            </w:r>
            <w:r>
              <w:rPr>
                <w:rFonts w:hint="eastAsia" w:ascii="宋体" w:hAnsi="宋体" w:cs="Times New Roman"/>
                <w:bCs/>
                <w:iCs/>
                <w:highlight w:val="none"/>
              </w:rPr>
              <w:t>满足生产需要。对设备按月方式进行点检维护保养，并实</w:t>
            </w:r>
            <w:r>
              <w:rPr>
                <w:rFonts w:hint="eastAsia" w:ascii="宋体" w:hAnsi="宋体"/>
                <w:bCs/>
                <w:iCs/>
                <w:highlight w:val="none"/>
              </w:rPr>
              <w:t>施。</w:t>
            </w:r>
            <w:bookmarkStart w:id="21" w:name="_GoBack"/>
            <w:bookmarkEnd w:id="21"/>
            <w:r>
              <w:rPr>
                <w:rFonts w:hint="eastAsia" w:ascii="宋体" w:hAnsi="宋体"/>
                <w:bCs/>
                <w:iCs/>
                <w:highlight w:val="none"/>
              </w:rPr>
              <w:t>特种设备：</w:t>
            </w:r>
            <w:r>
              <w:rPr>
                <w:rFonts w:hint="eastAsia" w:ascii="宋体" w:hAnsi="宋体"/>
                <w:bCs/>
                <w:iCs/>
                <w:highlight w:val="none"/>
                <w:lang w:val="en-US" w:eastAsia="zh-CN"/>
              </w:rPr>
              <w:t>无</w:t>
            </w:r>
            <w:r>
              <w:rPr>
                <w:rFonts w:hint="eastAsia" w:ascii="宋体" w:hAnsi="宋体"/>
                <w:bCs/>
                <w:iCs/>
                <w:highlight w:val="none"/>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ascii="宋体" w:hAnsi="宋体" w:cs="宋体"/>
                <w:color w:val="000000"/>
                <w:szCs w:val="21"/>
                <w:highlight w:val="none"/>
              </w:rPr>
            </w:pPr>
            <w:r>
              <w:rPr>
                <w:rFonts w:hint="eastAsia" w:ascii="宋体" w:hAnsi="宋体"/>
                <w:b/>
                <w:color w:val="000000" w:themeColor="text1"/>
                <w:sz w:val="20"/>
                <w:szCs w:val="20"/>
                <w:highlight w:val="none"/>
              </w:rPr>
              <w:t>监视和测量资源</w:t>
            </w:r>
          </w:p>
          <w:p>
            <w:pPr>
              <w:spacing w:line="240" w:lineRule="exact"/>
              <w:ind w:firstLine="420" w:firstLineChars="200"/>
              <w:rPr>
                <w:rFonts w:ascii="宋体" w:hAnsi="宋体"/>
                <w:b/>
                <w:color w:val="000000" w:themeColor="text1"/>
                <w:sz w:val="20"/>
                <w:szCs w:val="20"/>
                <w:highlight w:val="none"/>
              </w:rPr>
            </w:pPr>
            <w:r>
              <w:rPr>
                <w:rFonts w:hint="eastAsia" w:ascii="宋体" w:hAnsi="宋体" w:cs="宋体"/>
                <w:color w:val="000000"/>
                <w:szCs w:val="21"/>
                <w:highlight w:val="none"/>
              </w:rPr>
              <w:t>生产车间及检验部门均按策划的要求配置了相应的检测设备</w:t>
            </w:r>
            <w:r>
              <w:rPr>
                <w:rFonts w:hint="eastAsia" w:ascii="宋体" w:hAnsi="宋体" w:cs="宋体"/>
                <w:b w:val="0"/>
                <w:bCs w:val="0"/>
                <w:color w:val="000000"/>
                <w:szCs w:val="21"/>
                <w:highlight w:val="none"/>
              </w:rPr>
              <w:t>，均采用委外送检的方式。抽在用检具的检定或校准证书能提供在用检具的有效检定或校准证据。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w:t>
            </w:r>
            <w:r>
              <w:rPr>
                <w:rFonts w:hint="eastAsia"/>
                <w:color w:val="000000" w:themeColor="text1"/>
                <w:sz w:val="20"/>
                <w:szCs w:val="20"/>
                <w:lang w:eastAsia="zh-CN"/>
              </w:rPr>
              <w:t>记录</w:t>
            </w:r>
            <w:r>
              <w:rPr>
                <w:rFonts w:hint="eastAsia"/>
                <w:color w:val="000000" w:themeColor="text1"/>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ind w:left="210" w:leftChars="100" w:firstLine="100" w:firstLineChars="50"/>
              <w:jc w:val="left"/>
              <w:rPr>
                <w:rFonts w:hint="default" w:eastAsia="宋体"/>
                <w:b/>
                <w:color w:val="000000" w:themeColor="text1"/>
                <w:sz w:val="20"/>
                <w:szCs w:val="20"/>
                <w:lang w:val="en-US" w:eastAsia="zh-CN"/>
              </w:rPr>
            </w:pPr>
            <w:r>
              <w:rPr>
                <w:rFonts w:hint="eastAsia"/>
                <w:b/>
                <w:sz w:val="20"/>
                <w:szCs w:val="20"/>
              </w:rPr>
              <w:t>特种设备</w:t>
            </w:r>
            <w:r>
              <w:rPr>
                <w:rFonts w:hint="eastAsia"/>
                <w:b/>
                <w:sz w:val="20"/>
                <w:szCs w:val="20"/>
                <w:lang w:eastAsia="zh-CN"/>
              </w:rPr>
              <w:t>：</w:t>
            </w:r>
            <w:r>
              <w:rPr>
                <w:rFonts w:hint="eastAsia"/>
                <w:b/>
                <w:sz w:val="20"/>
                <w:szCs w:val="20"/>
                <w:lang w:val="en-US" w:eastAsia="zh-CN"/>
              </w:rPr>
              <w:t>叉车、锅炉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w:t>
            </w:r>
            <w:r>
              <w:rPr>
                <w:rFonts w:hint="eastAsia" w:ascii="宋体" w:hAnsi="宋体" w:cs="宋体"/>
                <w:color w:val="000000"/>
                <w:szCs w:val="21"/>
                <w:highlight w:val="none"/>
              </w:rPr>
              <w:t>得到沟通和监视评价，通过数据的汇总统计、描述性统计等方法对目标进行了测量，总体已达到或超过了规定的目标值。通过2019年</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11</w:t>
            </w:r>
            <w:r>
              <w:rPr>
                <w:rFonts w:hint="eastAsia" w:ascii="宋体" w:hAnsi="宋体" w:cs="宋体"/>
                <w:color w:val="000000"/>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w:t>
            </w:r>
            <w:r>
              <w:rPr>
                <w:rFonts w:hint="eastAsia" w:ascii="宋体" w:hAnsi="宋体" w:cs="宋体"/>
                <w:color w:val="000000"/>
                <w:szCs w:val="21"/>
                <w:highlight w:val="none"/>
              </w:rPr>
              <w:t>顾客投诉处理及顾客满意度评价做了明确的规定，并按规定对顾客反馈及时处理，但在顾客反馈信息的利用上不够，需要改善。近年来未发生重大顾客投诉和产品质量事故。顾客满意度调查按规定实施，201</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98%</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rPr>
              <w:t>3.</w:t>
            </w:r>
            <w:r>
              <w:rPr>
                <w:rFonts w:hint="eastAsia"/>
                <w:b/>
                <w:color w:val="000000" w:themeColor="text1"/>
                <w:sz w:val="20"/>
                <w:szCs w:val="20"/>
                <w:highlight w:val="none"/>
              </w:rPr>
              <w:t xml:space="preserve"> 内审（包括内审策划审核方案中考虑拟审核的过程和区域的状况和重要性）</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b/>
                <w:color w:val="FF0000"/>
                <w:sz w:val="20"/>
                <w:szCs w:val="20"/>
              </w:rPr>
            </w:pPr>
            <w:r>
              <w:rPr>
                <w:rFonts w:hint="eastAsia" w:ascii="宋体" w:hAnsi="宋体" w:cs="宋体"/>
                <w:color w:val="000000"/>
                <w:szCs w:val="21"/>
                <w:highlight w:val="none"/>
              </w:rPr>
              <w:t>建立有《内部审核控制程序》，规定了内审频次一年一次，内审时间：2019年</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16</w:t>
            </w:r>
            <w:r>
              <w:rPr>
                <w:rFonts w:hint="eastAsia" w:ascii="宋体" w:hAnsi="宋体" w:cs="宋体"/>
                <w:color w:val="000000"/>
                <w:szCs w:val="21"/>
                <w:highlight w:val="none"/>
              </w:rPr>
              <w:t>日，拟定了审核实施表，明确了内审范围，内审人员经培训合格上岗，能力满足要求，未出现审核本部门情况，内审不符合项</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 xml:space="preserve">项， </w:t>
            </w:r>
            <w:r>
              <w:rPr>
                <w:rFonts w:hint="eastAsia" w:ascii="宋体" w:hAnsi="宋体" w:cs="宋体"/>
                <w:szCs w:val="24"/>
              </w:rPr>
              <w:t>涉及</w:t>
            </w:r>
            <w:r>
              <w:rPr>
                <w:rFonts w:hint="eastAsia" w:ascii="宋体" w:hAnsi="宋体" w:cs="宋体"/>
                <w:szCs w:val="24"/>
                <w:lang w:eastAsia="zh-CN"/>
              </w:rPr>
              <w:t>市场部</w:t>
            </w:r>
            <w:r>
              <w:rPr>
                <w:rFonts w:hint="eastAsia" w:ascii="宋体" w:hAnsi="宋体" w:cs="宋体"/>
                <w:szCs w:val="24"/>
                <w:lang w:val="en-US" w:eastAsia="zh-CN"/>
              </w:rPr>
              <w:t>不符合</w:t>
            </w:r>
            <w:r>
              <w:rPr>
                <w:rFonts w:hint="eastAsia" w:ascii="宋体" w:hAnsi="宋体" w:cs="宋体"/>
                <w:szCs w:val="24"/>
              </w:rPr>
              <w:t>标准</w:t>
            </w:r>
            <w:r>
              <w:rPr>
                <w:rFonts w:hint="eastAsia" w:ascii="宋体" w:hAnsi="宋体" w:cs="宋体"/>
                <w:szCs w:val="24"/>
                <w:lang w:val="en-US" w:eastAsia="zh-CN"/>
              </w:rPr>
              <w:t>8.4.1</w:t>
            </w:r>
            <w:r>
              <w:rPr>
                <w:rFonts w:hint="eastAsia" w:ascii="宋体" w:hAnsi="宋体" w:cs="宋体"/>
                <w:szCs w:val="24"/>
              </w:rPr>
              <w:t>条款201</w:t>
            </w:r>
            <w:r>
              <w:rPr>
                <w:rFonts w:hint="eastAsia" w:ascii="宋体" w:hAnsi="宋体" w:cs="宋体"/>
                <w:szCs w:val="24"/>
                <w:lang w:val="en-US" w:eastAsia="zh-CN"/>
              </w:rPr>
              <w:t>9</w:t>
            </w:r>
            <w:r>
              <w:rPr>
                <w:rFonts w:hint="eastAsia" w:ascii="宋体" w:hAnsi="宋体" w:cs="宋体"/>
                <w:szCs w:val="24"/>
              </w:rPr>
              <w:t>年</w:t>
            </w:r>
            <w:r>
              <w:rPr>
                <w:rFonts w:hint="eastAsia" w:ascii="宋体" w:hAnsi="宋体" w:cs="宋体"/>
                <w:szCs w:val="24"/>
                <w:lang w:val="en-US" w:eastAsia="zh-CN"/>
              </w:rPr>
              <w:t>6</w:t>
            </w:r>
            <w:r>
              <w:rPr>
                <w:rFonts w:hint="eastAsia" w:ascii="宋体" w:hAnsi="宋体" w:cs="宋体"/>
                <w:szCs w:val="24"/>
              </w:rPr>
              <w:t>月份</w:t>
            </w:r>
            <w:r>
              <w:rPr>
                <w:rFonts w:hint="eastAsia" w:ascii="宋体" w:hAnsi="宋体" w:cs="宋体"/>
                <w:szCs w:val="24"/>
                <w:lang w:eastAsia="zh-CN"/>
              </w:rPr>
              <w:t>对合格供方的评审，未见相关评审的证据</w:t>
            </w:r>
            <w:r>
              <w:rPr>
                <w:rFonts w:hint="eastAsia" w:ascii="宋体" w:hAnsi="宋体" w:cs="宋体"/>
                <w:color w:val="000000"/>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kern w:val="0"/>
                <w:sz w:val="21"/>
                <w:szCs w:val="21"/>
              </w:rPr>
              <w:t>2019年</w:t>
            </w:r>
            <w:r>
              <w:rPr>
                <w:rFonts w:hint="eastAsia" w:ascii="宋体" w:hAnsi="宋体"/>
                <w:kern w:val="0"/>
                <w:sz w:val="21"/>
                <w:szCs w:val="21"/>
                <w:lang w:val="en-US" w:eastAsia="zh-CN"/>
              </w:rPr>
              <w:t>8</w:t>
            </w:r>
            <w:r>
              <w:rPr>
                <w:rFonts w:hint="eastAsia" w:ascii="宋体" w:hAnsi="宋体"/>
                <w:kern w:val="0"/>
                <w:sz w:val="21"/>
                <w:szCs w:val="21"/>
              </w:rPr>
              <w:t>月</w:t>
            </w:r>
            <w:r>
              <w:rPr>
                <w:rFonts w:hint="eastAsia" w:ascii="宋体" w:hAnsi="宋体"/>
                <w:kern w:val="0"/>
                <w:sz w:val="21"/>
                <w:szCs w:val="21"/>
                <w:lang w:val="en-US" w:eastAsia="zh-CN"/>
              </w:rPr>
              <w:t>10</w:t>
            </w:r>
            <w:r>
              <w:rPr>
                <w:rFonts w:hint="eastAsia" w:ascii="宋体" w:hAnsi="宋体"/>
                <w:kern w:val="0"/>
                <w:sz w:val="21"/>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lang w:val="en-US" w:eastAsia="zh-CN"/>
              </w:rPr>
            </w:pPr>
            <w:r>
              <w:rPr>
                <w:rFonts w:hint="eastAsia"/>
                <w:color w:val="FF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pacing w:val="-20"/>
                <w:sz w:val="20"/>
                <w:szCs w:val="20"/>
                <w:lang w:eastAsia="zh-CN"/>
              </w:rPr>
            </w:pPr>
            <w:r>
              <w:rPr>
                <w:rFonts w:hint="eastAsia"/>
                <w:b/>
                <w:color w:val="000000" w:themeColor="text1"/>
                <w:spacing w:val="-20"/>
                <w:sz w:val="20"/>
                <w:szCs w:val="20"/>
                <w:lang w:eastAsia="zh-CN"/>
              </w:rPr>
              <w:t>3. 一阶段提出问题的整改情况?</w:t>
            </w:r>
          </w:p>
          <w:p>
            <w:pPr>
              <w:spacing w:line="240" w:lineRule="exact"/>
              <w:rPr>
                <w:rFonts w:hint="eastAsia" w:eastAsia="宋体"/>
                <w:b/>
                <w:color w:val="000000" w:themeColor="text1"/>
                <w:spacing w:val="-20"/>
                <w:sz w:val="20"/>
                <w:szCs w:val="20"/>
                <w:lang w:eastAsia="zh-CN"/>
              </w:rPr>
            </w:pPr>
            <w:r>
              <w:rPr>
                <w:rFonts w:hint="eastAsia"/>
                <w:b/>
                <w:color w:val="000000" w:themeColor="text1"/>
                <w:spacing w:val="-20"/>
                <w:sz w:val="20"/>
                <w:szCs w:val="20"/>
                <w:lang w:eastAsia="zh-CN"/>
              </w:rPr>
              <w:t>一阶段审核不符合情况：无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2052"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9"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4132" w:firstLineChars="1960"/>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2019年12月27日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 xml:space="preserve">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 xml:space="preserve">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rFonts w:ascii="宋体" w:hAnsi="宋体"/>
          <w:b/>
          <w:color w:val="000000" w:themeColor="text1"/>
          <w:sz w:val="26"/>
          <w:szCs w:val="26"/>
        </w:rPr>
      </w:pPr>
      <w:r>
        <w:rPr>
          <w:rFonts w:hint="eastAsia"/>
          <w:b/>
          <w:bCs/>
          <w:color w:val="000000" w:themeColor="text1"/>
          <w:szCs w:val="21"/>
        </w:rPr>
        <w:t xml:space="preserve">5. 对子证书/证书附件要求的组织，除在末次会议上确定注册范围外，还须附上子证书/证书附件的文字表达。(可另附页)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0"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0"/>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CED4CA"/>
    <w:multiLevelType w:val="singleLevel"/>
    <w:tmpl w:val="DACED4CA"/>
    <w:lvl w:ilvl="0" w:tentative="0">
      <w:start w:val="1"/>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F1E0F62"/>
    <w:multiLevelType w:val="singleLevel"/>
    <w:tmpl w:val="5F1E0F62"/>
    <w:lvl w:ilvl="0" w:tentative="0">
      <w:start w:val="3"/>
      <w:numFmt w:val="decimal"/>
      <w:lvlText w:val="%1."/>
      <w:lvlJc w:val="left"/>
      <w:pPr>
        <w:tabs>
          <w:tab w:val="left" w:pos="312"/>
        </w:tabs>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170EE8"/>
    <w:rsid w:val="0CFF1DA1"/>
    <w:rsid w:val="0F55545C"/>
    <w:rsid w:val="130C1C46"/>
    <w:rsid w:val="245F5CF7"/>
    <w:rsid w:val="2EB969E1"/>
    <w:rsid w:val="30426153"/>
    <w:rsid w:val="391E4824"/>
    <w:rsid w:val="3A310376"/>
    <w:rsid w:val="42201B7C"/>
    <w:rsid w:val="439B63A1"/>
    <w:rsid w:val="449D6B63"/>
    <w:rsid w:val="4566632D"/>
    <w:rsid w:val="528F6539"/>
    <w:rsid w:val="70BC549E"/>
    <w:rsid w:val="72FE33C7"/>
    <w:rsid w:val="77572F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路人甲</cp:lastModifiedBy>
  <cp:lastPrinted>2019-05-13T03:19:00Z</cp:lastPrinted>
  <dcterms:modified xsi:type="dcterms:W3CDTF">2019-12-27T07:33:11Z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