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0730-2022-QJEO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重庆高泰建设工程有限公司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2022年06月02日 上午至2022年06月02日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GB/T19001-2016</w:t>
            </w:r>
            <w:r>
              <w:rPr>
                <w:rFonts w:hint="eastAsia" w:ascii="宋体" w:hAnsi="宋体"/>
                <w:b/>
                <w:color w:val="000000"/>
                <w:szCs w:val="21"/>
              </w:rPr>
              <w:t>■</w:t>
            </w:r>
            <w:r>
              <w:rPr>
                <w:rFonts w:hint="eastAsia" w:ascii="宋体" w:hAnsi="宋体"/>
                <w:b/>
                <w:color w:val="000000"/>
                <w:szCs w:val="21"/>
                <w:lang w:val="de-DE"/>
              </w:rPr>
              <w:t>GB/T 50430-2017</w:t>
            </w:r>
            <w:bookmarkStart w:id="13" w:name="E勾选Add2"/>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4" w:name="S勾选Add2"/>
            <w:r>
              <w:rPr>
                <w:rFonts w:hint="eastAsia" w:ascii="宋体" w:hAnsi="宋体"/>
                <w:b/>
                <w:color w:val="000000"/>
                <w:szCs w:val="21"/>
                <w:lang w:val="de-DE"/>
              </w:rPr>
              <w:t>■</w:t>
            </w:r>
            <w:bookmarkEnd w:id="14"/>
            <w:r>
              <w:rPr>
                <w:rFonts w:hint="eastAsia" w:ascii="宋体" w:hAnsi="宋体"/>
                <w:b/>
                <w:color w:val="000000"/>
                <w:szCs w:val="21"/>
                <w:lang w:val="de-DE"/>
              </w:rPr>
              <w:t>ISO45001：2018</w:t>
            </w:r>
          </w:p>
          <w:p>
            <w:pPr>
              <w:rPr>
                <w:rFonts w:ascii="宋体" w:hAnsi="宋体"/>
                <w:b/>
                <w:color w:val="000000"/>
                <w:szCs w:val="21"/>
                <w:lang w:val="de-DE"/>
              </w:rPr>
            </w:pPr>
            <w:bookmarkStart w:id="15" w:name="EnMS勾选Add2"/>
            <w:r>
              <w:rPr>
                <w:rFonts w:hint="eastAsia" w:ascii="宋体" w:hAnsi="宋体"/>
                <w:b/>
                <w:color w:val="000000"/>
                <w:szCs w:val="21"/>
                <w:lang w:val="de-DE"/>
              </w:rPr>
              <w:t>□</w:t>
            </w:r>
            <w:bookmarkEnd w:id="15"/>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6" w:name="F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7" w:name="H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重庆市江北区北滨一路456号4-4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140" w:type="dxa"/>
            <w:vAlign w:val="center"/>
          </w:tcPr>
          <w:p>
            <w:pPr>
              <w:spacing w:line="240" w:lineRule="exact"/>
              <w:jc w:val="center"/>
              <w:rPr>
                <w:b/>
                <w:color w:val="000000"/>
                <w:szCs w:val="21"/>
              </w:rPr>
            </w:pPr>
            <w:r>
              <w:rPr>
                <w:b/>
                <w:color w:val="000000"/>
                <w:szCs w:val="21"/>
              </w:rPr>
              <w:t>EC:28.04.01,28.09.02</w:t>
            </w:r>
          </w:p>
          <w:p>
            <w:pPr>
              <w:spacing w:line="240" w:lineRule="exact"/>
              <w:jc w:val="center"/>
              <w:rPr>
                <w:b/>
                <w:color w:val="000000"/>
                <w:szCs w:val="21"/>
              </w:rPr>
            </w:pPr>
            <w:r>
              <w:rPr>
                <w:b/>
                <w:color w:val="000000"/>
                <w:szCs w:val="21"/>
              </w:rPr>
              <w:t>E:28.04.01,28.09.02</w:t>
            </w:r>
          </w:p>
          <w:p>
            <w:pPr>
              <w:spacing w:line="240" w:lineRule="exact"/>
              <w:jc w:val="center"/>
              <w:rPr>
                <w:b/>
                <w:color w:val="000000"/>
                <w:szCs w:val="21"/>
              </w:rPr>
            </w:pPr>
            <w:r>
              <w:rPr>
                <w:b/>
                <w:color w:val="000000"/>
                <w:szCs w:val="21"/>
              </w:rPr>
              <w:t>O:28.04.01,28.09.02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2022-N1EMS-2242345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重庆高泰建设工程有限公司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重庆市秀山土家族苗族自治县乌杨街道园区路21号（县工业园区周转房G栋2-13）</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400000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重庆市江北区北滨一路456号4-4</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400000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刘勋力</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18623370906</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龚道钰</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龚道钰</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资质范围内市政公用工程施工，地基基础工程专业承包；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生产/服务提供流程简图</w:t>
            </w:r>
          </w:p>
          <w:p>
            <w:pPr>
              <w:tabs>
                <w:tab w:val="left" w:pos="0"/>
              </w:tabs>
              <w:rPr>
                <w:rFonts w:hint="eastAsia" w:ascii="宋体" w:hAnsi="宋体" w:eastAsia="宋体" w:cs="Times New Roman"/>
                <w:color w:val="000000"/>
                <w:szCs w:val="21"/>
              </w:rPr>
            </w:pPr>
          </w:p>
          <w:p>
            <w:pPr>
              <w:tabs>
                <w:tab w:val="left" w:pos="0"/>
              </w:tabs>
              <w:rPr>
                <w:rFonts w:hint="eastAsia" w:ascii="宋体" w:hAnsi="宋体" w:eastAsia="宋体" w:cs="Times New Roman"/>
                <w:color w:val="000000"/>
                <w:szCs w:val="21"/>
              </w:rPr>
            </w:pPr>
          </w:p>
        </w:tc>
        <w:tc>
          <w:tcPr>
            <w:tcW w:w="8058" w:type="dxa"/>
            <w:gridSpan w:val="7"/>
            <w:shd w:val="clear" w:color="auto" w:fill="auto"/>
          </w:tcPr>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生产/服务流程图：</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项目投标—筹建项目部—项目施工策划—施工准备—现场施工—</w:t>
            </w:r>
            <w:r>
              <w:rPr>
                <w:rFonts w:hint="eastAsia" w:cs="Times New Roman"/>
                <w:color w:val="auto"/>
                <w:highlight w:val="none"/>
                <w:lang w:val="en-US" w:eastAsia="zh-CN"/>
              </w:rPr>
              <w:t>分部分项工程验收</w:t>
            </w:r>
            <w:r>
              <w:rPr>
                <w:rFonts w:hint="eastAsia" w:ascii="Times New Roman" w:hAnsi="Times New Roman" w:eastAsia="宋体" w:cs="Times New Roman"/>
                <w:color w:val="auto"/>
                <w:highlight w:val="none"/>
                <w:lang w:val="en-US" w:eastAsia="zh-CN"/>
              </w:rPr>
              <w:t>—竣工验收—保修期管理</w:t>
            </w:r>
          </w:p>
          <w:p>
            <w:pPr>
              <w:tabs>
                <w:tab w:val="left" w:pos="0"/>
              </w:tabs>
              <w:rPr>
                <w:rFonts w:hint="eastAsia"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资质范围内市政公用工程施工，地基基础工程专业承包；</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资质范围内市政公用工程施工，地基基础工程专业承包所涉及场所的相关环境管理活动</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资质范围内市政公用工程施工，地基基础工程专业承包所涉及场所的相关职业健康安全管理活动</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62"/>
        <w:gridCol w:w="171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6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1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重庆高泰建设工程有限公司</w:t>
            </w:r>
            <w:r>
              <w:rPr>
                <w:rFonts w:hint="eastAsia"/>
                <w:sz w:val="21"/>
                <w:szCs w:val="21"/>
                <w:lang w:val="en-US" w:eastAsia="zh-CN"/>
              </w:rPr>
              <w:t>/</w:t>
            </w:r>
            <w:r>
              <w:rPr>
                <w:sz w:val="21"/>
                <w:szCs w:val="21"/>
              </w:rPr>
              <w:t>重庆市秀山土家族苗族自治县乌杨街道园区路21号（县工业园区周转房G栋2-13）</w:t>
            </w:r>
          </w:p>
        </w:tc>
        <w:tc>
          <w:tcPr>
            <w:tcW w:w="2267" w:type="dxa"/>
          </w:tcPr>
          <w:p>
            <w:pPr>
              <w:spacing w:before="40" w:after="40"/>
              <w:rPr>
                <w:rFonts w:eastAsia="黑体"/>
                <w:szCs w:val="21"/>
                <w:lang w:val="de-DE" w:eastAsia="ja-JP"/>
              </w:rPr>
            </w:pPr>
            <w:r>
              <w:rPr>
                <w:sz w:val="21"/>
                <w:szCs w:val="21"/>
              </w:rPr>
              <w:t>重庆市江北区北滨一路456号4-4</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1762" w:type="dxa"/>
            <w:vAlign w:val="center"/>
          </w:tcPr>
          <w:p>
            <w:pPr>
              <w:pStyle w:val="19"/>
              <w:rPr>
                <w:rFonts w:eastAsia="黑体" w:cs="Arial"/>
                <w:sz w:val="21"/>
                <w:szCs w:val="21"/>
                <w:lang w:val="en-US" w:eastAsia="ja-JP"/>
              </w:rPr>
            </w:pPr>
            <w:r>
              <w:t>资质范围内市政公用工程施工，地基基础工程专业承包</w:t>
            </w:r>
          </w:p>
        </w:tc>
        <w:tc>
          <w:tcPr>
            <w:tcW w:w="1710" w:type="dxa"/>
            <w:vAlign w:val="center"/>
          </w:tcPr>
          <w:p>
            <w:pPr>
              <w:rPr>
                <w:rFonts w:ascii="宋体" w:hAnsi="宋体"/>
                <w:b/>
                <w:sz w:val="21"/>
                <w:szCs w:val="21"/>
              </w:rPr>
            </w:pPr>
            <w:r>
              <w:rPr>
                <w:rFonts w:hint="eastAsia" w:ascii="宋体" w:hAnsi="宋体"/>
                <w:b/>
                <w:sz w:val="21"/>
                <w:szCs w:val="21"/>
              </w:rPr>
              <w:t xml:space="preserve">GB/T19001-2016GB/T50430-2017    </w:t>
            </w:r>
          </w:p>
          <w:p>
            <w:pPr>
              <w:spacing w:before="40" w:after="40"/>
              <w:rPr>
                <w:rFonts w:eastAsia="黑体"/>
                <w:szCs w:val="21"/>
                <w:lang w:eastAsia="ja-JP"/>
              </w:rPr>
            </w:pPr>
            <w:r>
              <w:rPr>
                <w:rFonts w:hint="eastAsia" w:ascii="宋体" w:hAnsi="宋体"/>
                <w:b/>
                <w:sz w:val="21"/>
                <w:szCs w:val="21"/>
              </w:rPr>
              <w:t>GB/T24001-2016GB/T45001-2020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2" w:type="dxa"/>
            <w:vAlign w:val="center"/>
          </w:tcPr>
          <w:p>
            <w:pPr>
              <w:spacing w:before="40" w:after="40"/>
              <w:rPr>
                <w:rFonts w:eastAsia="黑体"/>
                <w:szCs w:val="21"/>
                <w:lang w:eastAsia="ja-JP"/>
              </w:rPr>
            </w:pPr>
          </w:p>
        </w:tc>
        <w:tc>
          <w:tcPr>
            <w:tcW w:w="171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2" w:type="dxa"/>
            <w:vAlign w:val="center"/>
          </w:tcPr>
          <w:p>
            <w:pPr>
              <w:spacing w:before="40" w:after="40"/>
              <w:rPr>
                <w:rFonts w:eastAsia="黑体"/>
                <w:szCs w:val="21"/>
                <w:lang w:eastAsia="ja-JP"/>
              </w:rPr>
            </w:pPr>
          </w:p>
        </w:tc>
        <w:tc>
          <w:tcPr>
            <w:tcW w:w="171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2" w:type="dxa"/>
            <w:vAlign w:val="center"/>
          </w:tcPr>
          <w:p>
            <w:pPr>
              <w:spacing w:before="40" w:after="40"/>
              <w:rPr>
                <w:rFonts w:eastAsia="黑体"/>
                <w:szCs w:val="21"/>
                <w:lang w:eastAsia="ja-JP"/>
              </w:rPr>
            </w:pPr>
          </w:p>
        </w:tc>
        <w:tc>
          <w:tcPr>
            <w:tcW w:w="171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62" w:type="dxa"/>
            <w:vAlign w:val="center"/>
          </w:tcPr>
          <w:p>
            <w:pPr>
              <w:spacing w:before="40" w:after="40"/>
              <w:rPr>
                <w:rFonts w:eastAsia="黑体"/>
                <w:szCs w:val="21"/>
                <w:lang w:eastAsia="ja-JP"/>
              </w:rPr>
            </w:pPr>
          </w:p>
        </w:tc>
        <w:tc>
          <w:tcPr>
            <w:tcW w:w="171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color w:val="00000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color w:val="00000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color w:val="00000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color w:val="00000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color w:val="00000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 年 1 月 1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ascii="宋体" w:hAnsi="宋体"/>
                <w:b/>
                <w:color w:val="000000"/>
                <w:szCs w:val="21"/>
                <w:highlight w:val="none"/>
                <w:u w:val="single"/>
                <w:lang w:val="en-US" w:eastAsia="zh-CN"/>
              </w:rPr>
              <w:t>2022年4月13-14日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ascii="宋体" w:hAnsi="宋体" w:eastAsia="宋体"/>
                <w:color w:val="000000"/>
                <w:sz w:val="21"/>
                <w:szCs w:val="21"/>
                <w:highlight w:val="none"/>
                <w:u w:val="single"/>
                <w:lang w:val="en-US" w:eastAsia="zh-CN"/>
              </w:rPr>
              <w:t>2022年4月27日</w:t>
            </w:r>
            <w:r>
              <w:rPr>
                <w:rFonts w:hint="eastAsia" w:ascii="宋体" w:hAnsi="宋体" w:eastAsia="宋体"/>
                <w:color w:val="000000"/>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）质量管理体系的不适用条款</w:t>
            </w: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有</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）不适用条款理由的详细说明</w:t>
            </w: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劳务分包、设备租赁等</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numPr>
                <w:ilvl w:val="0"/>
                <w:numId w:val="3"/>
              </w:numPr>
              <w:spacing w:line="360" w:lineRule="auto"/>
              <w:rPr>
                <w:rFonts w:hint="eastAsia"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江北区江北城段消落区综合治理工程（长江段合江北嘴及两翼段）</w:t>
            </w:r>
            <w:r>
              <w:rPr>
                <w:rFonts w:hint="eastAsia" w:ascii="Times New Roman" w:hAnsi="Times New Roman" w:eastAsia="宋体" w:cs="Times New Roman"/>
                <w:b/>
                <w:sz w:val="22"/>
                <w:szCs w:val="22"/>
                <w:lang w:val="en-US" w:eastAsia="zh-CN"/>
              </w:rPr>
              <w:t xml:space="preserve">  （</w:t>
            </w:r>
            <w:r>
              <w:rPr>
                <w:rFonts w:hint="eastAsia" w:ascii="Times New Roman" w:hAnsi="Times New Roman" w:eastAsia="宋体" w:cs="Times New Roman"/>
                <w:b/>
                <w:sz w:val="22"/>
                <w:szCs w:val="22"/>
              </w:rPr>
              <w:t>市政公用工程施工</w:t>
            </w:r>
            <w:r>
              <w:rPr>
                <w:rFonts w:hint="eastAsia" w:ascii="Times New Roman" w:hAnsi="Times New Roman" w:eastAsia="宋体" w:cs="Times New Roman"/>
                <w:b/>
                <w:sz w:val="22"/>
                <w:szCs w:val="22"/>
                <w:lang w:val="en-US" w:eastAsia="zh-CN"/>
              </w:rPr>
              <w:t>）汽车30分钟</w:t>
            </w:r>
          </w:p>
          <w:p>
            <w:pPr>
              <w:numPr>
                <w:ilvl w:val="0"/>
                <w:numId w:val="3"/>
              </w:numPr>
              <w:spacing w:line="360" w:lineRule="auto"/>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茶惠大道一标段工程项目土石方工程</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rPr>
              <w:t>地基基础工程施工</w:t>
            </w:r>
            <w:r>
              <w:rPr>
                <w:rFonts w:hint="eastAsia" w:ascii="Times New Roman" w:hAnsi="Times New Roman" w:eastAsia="宋体" w:cs="Times New Roman"/>
                <w:b/>
                <w:sz w:val="22"/>
                <w:szCs w:val="22"/>
                <w:lang w:eastAsia="zh-CN"/>
              </w:rPr>
              <w:t>）</w:t>
            </w:r>
            <w:r>
              <w:rPr>
                <w:rFonts w:hint="eastAsia" w:ascii="Times New Roman" w:hAnsi="Times New Roman" w:eastAsia="宋体" w:cs="Times New Roman"/>
                <w:b/>
                <w:sz w:val="22"/>
                <w:szCs w:val="22"/>
                <w:lang w:val="en-US" w:eastAsia="zh-CN"/>
              </w:rPr>
              <w:t xml:space="preserve">  汽车35分钟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29" w:name="二阶段审核日期"/>
            <w:r>
              <w:rPr>
                <w:rFonts w:hint="eastAsia" w:ascii="宋体"/>
                <w:b/>
                <w:color w:val="000000"/>
                <w:szCs w:val="21"/>
                <w:highlight w:val="none"/>
              </w:rPr>
              <w:t>2022-06-</w:t>
            </w:r>
            <w:bookmarkEnd w:id="29"/>
            <w:r>
              <w:rPr>
                <w:rFonts w:hint="eastAsia" w:ascii="宋体"/>
                <w:b/>
                <w:color w:val="000000"/>
                <w:szCs w:val="21"/>
                <w:highlight w:val="none"/>
                <w:lang w:val="en-US" w:eastAsia="zh-CN"/>
              </w:rPr>
              <w:t>10至12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sym w:font="Wingdings 2" w:char="00A3"/>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485"/>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485" w:type="dxa"/>
            <w:vAlign w:val="center"/>
          </w:tcPr>
          <w:p>
            <w:pPr>
              <w:spacing w:line="400" w:lineRule="exact"/>
              <w:rPr>
                <w:rFonts w:ascii="宋体" w:hAnsi="宋体"/>
                <w:b/>
                <w:color w:val="000000"/>
                <w:szCs w:val="21"/>
              </w:rPr>
            </w:pPr>
          </w:p>
        </w:tc>
        <w:tc>
          <w:tcPr>
            <w:tcW w:w="189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485" w:type="dxa"/>
            <w:vAlign w:val="center"/>
          </w:tcPr>
          <w:p>
            <w:pPr>
              <w:rPr>
                <w:rFonts w:ascii="宋体" w:hAnsi="宋体"/>
                <w:b/>
                <w:color w:val="000000"/>
                <w:szCs w:val="21"/>
              </w:rPr>
            </w:pPr>
            <w:r>
              <w:t>资质范围内市政公用工程施工，地基基础工程专业承包；</w:t>
            </w:r>
          </w:p>
        </w:tc>
        <w:tc>
          <w:tcPr>
            <w:tcW w:w="1897"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485" w:type="dxa"/>
            <w:vAlign w:val="center"/>
          </w:tcPr>
          <w:p>
            <w:pPr>
              <w:spacing w:line="400" w:lineRule="exact"/>
              <w:rPr>
                <w:rFonts w:ascii="宋体" w:hAnsi="宋体"/>
                <w:b/>
                <w:color w:val="000000"/>
                <w:szCs w:val="21"/>
              </w:rPr>
            </w:pPr>
            <w:r>
              <w:t>资质范围内市政公用工程施工，地基基础工程专业承包；</w:t>
            </w:r>
          </w:p>
        </w:tc>
        <w:tc>
          <w:tcPr>
            <w:tcW w:w="1897"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485" w:type="dxa"/>
            <w:vAlign w:val="center"/>
          </w:tcPr>
          <w:p>
            <w:pPr>
              <w:rPr>
                <w:rFonts w:ascii="宋体" w:hAnsi="宋体"/>
                <w:b/>
                <w:color w:val="000000"/>
                <w:szCs w:val="21"/>
              </w:rPr>
            </w:pPr>
            <w:r>
              <w:t>资质范围内市政公用工程施工，地基基础工程专业承包所涉及场所的相关环境管理活动</w:t>
            </w:r>
          </w:p>
        </w:tc>
        <w:tc>
          <w:tcPr>
            <w:tcW w:w="1897"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485" w:type="dxa"/>
            <w:vAlign w:val="center"/>
          </w:tcPr>
          <w:p>
            <w:pPr>
              <w:spacing w:line="400" w:lineRule="exact"/>
              <w:rPr>
                <w:rFonts w:ascii="宋体" w:hAnsi="宋体"/>
                <w:b/>
                <w:color w:val="000000"/>
                <w:szCs w:val="21"/>
              </w:rPr>
            </w:pPr>
            <w:r>
              <w:t>资质范围内市政公用工程施工，地基基础工程专业承包所涉及场所的相关职业健康安全管理活动</w:t>
            </w:r>
          </w:p>
        </w:tc>
        <w:tc>
          <w:tcPr>
            <w:tcW w:w="1897"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485" w:type="dxa"/>
            <w:vAlign w:val="center"/>
          </w:tcPr>
          <w:p>
            <w:pPr>
              <w:spacing w:line="400" w:lineRule="exact"/>
              <w:rPr>
                <w:rFonts w:ascii="宋体" w:hAnsi="宋体"/>
                <w:b/>
                <w:color w:val="000000"/>
                <w:szCs w:val="21"/>
              </w:rPr>
            </w:pPr>
          </w:p>
        </w:tc>
        <w:tc>
          <w:tcPr>
            <w:tcW w:w="18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485" w:type="dxa"/>
            <w:vAlign w:val="center"/>
          </w:tcPr>
          <w:p>
            <w:pPr>
              <w:spacing w:line="400" w:lineRule="exact"/>
              <w:rPr>
                <w:rFonts w:ascii="宋体" w:hAnsi="宋体"/>
                <w:b/>
                <w:color w:val="000000"/>
                <w:szCs w:val="21"/>
              </w:rPr>
            </w:pPr>
          </w:p>
        </w:tc>
        <w:tc>
          <w:tcPr>
            <w:tcW w:w="189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485" w:type="dxa"/>
            <w:vAlign w:val="center"/>
          </w:tcPr>
          <w:p>
            <w:pPr>
              <w:spacing w:line="400" w:lineRule="exact"/>
              <w:rPr>
                <w:rFonts w:ascii="宋体" w:hAnsi="宋体"/>
                <w:b/>
                <w:color w:val="000000"/>
                <w:szCs w:val="21"/>
              </w:rPr>
            </w:pPr>
          </w:p>
        </w:tc>
        <w:tc>
          <w:tcPr>
            <w:tcW w:w="1897"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1919605</wp:posOffset>
            </wp:positionH>
            <wp:positionV relativeFrom="paragraph">
              <wp:posOffset>211455</wp:posOffset>
            </wp:positionV>
            <wp:extent cx="579120" cy="591185"/>
            <wp:effectExtent l="0" t="0" r="5080" b="5715"/>
            <wp:wrapNone/>
            <wp:docPr id="2" name="图片 2"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老师电子签名"/>
                    <pic:cNvPicPr>
                      <a:picLocks noChangeAspect="1"/>
                    </pic:cNvPicPr>
                  </pic:nvPicPr>
                  <pic:blipFill>
                    <a:blip r:embed="rId6"/>
                    <a:stretch>
                      <a:fillRect/>
                    </a:stretch>
                  </pic:blipFill>
                  <pic:spPr>
                    <a:xfrm>
                      <a:off x="0" y="0"/>
                      <a:ext cx="579120" cy="59118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4012565</wp:posOffset>
            </wp:positionH>
            <wp:positionV relativeFrom="paragraph">
              <wp:posOffset>278130</wp:posOffset>
            </wp:positionV>
            <wp:extent cx="689610" cy="501650"/>
            <wp:effectExtent l="0" t="0" r="8890" b="6350"/>
            <wp:wrapNone/>
            <wp:docPr id="6"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AppData\Local\Temp\WeChat Files\5990baca09647c352f1321b31faa90a.jpg"/>
                    <pic:cNvPicPr>
                      <a:picLocks noChangeAspect="1"/>
                    </pic:cNvPicPr>
                  </pic:nvPicPr>
                  <pic:blipFill>
                    <a:blip r:embed="rId7"/>
                    <a:stretch>
                      <a:fillRect/>
                    </a:stretch>
                  </pic:blipFill>
                  <pic:spPr>
                    <a:xfrm>
                      <a:off x="0" y="0"/>
                      <a:ext cx="689610" cy="5016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1200" w:firstLineChars="500"/>
        <w:rPr>
          <w:rFonts w:ascii="宋体"/>
          <w:b/>
          <w:color w:val="000000"/>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4807585</wp:posOffset>
            </wp:positionH>
            <wp:positionV relativeFrom="paragraph">
              <wp:posOffset>1905</wp:posOffset>
            </wp:positionV>
            <wp:extent cx="545465" cy="281940"/>
            <wp:effectExtent l="0" t="0" r="635" b="10160"/>
            <wp:wrapSquare wrapText="bothSides"/>
            <wp:docPr id="7" name="图片 5"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李林"/>
                    <pic:cNvPicPr>
                      <a:picLocks noChangeAspect="1"/>
                    </pic:cNvPicPr>
                  </pic:nvPicPr>
                  <pic:blipFill>
                    <a:blip r:embed="rId8"/>
                    <a:stretch>
                      <a:fillRect/>
                    </a:stretch>
                  </pic:blipFill>
                  <pic:spPr>
                    <a:xfrm>
                      <a:off x="0" y="0"/>
                      <a:ext cx="545465" cy="28194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1265" w:firstLineChars="6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2022年06月02日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重庆高泰建设工程有限公司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63"/>
        <w:gridCol w:w="176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5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6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rPr>
              <w:t>1</w:t>
            </w:r>
          </w:p>
        </w:tc>
        <w:tc>
          <w:tcPr>
            <w:tcW w:w="5351" w:type="dxa"/>
            <w:gridSpan w:val="2"/>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themeColor="text1"/>
                <w:kern w:val="2"/>
                <w:sz w:val="21"/>
                <w:szCs w:val="21"/>
                <w:lang w:val="en-US" w:eastAsia="zh-CN" w:bidi="ar-SA"/>
              </w:rPr>
            </w:pPr>
            <w:r>
              <w:rPr>
                <w:rFonts w:hint="eastAsia" w:eastAsia="宋体" w:cs="Times New Roman"/>
                <w:color w:val="000000" w:themeColor="text1"/>
                <w:sz w:val="21"/>
                <w:szCs w:val="21"/>
              </w:rPr>
              <w:t>全站仪、水平仪、漆膜仪、经伟仪、游标卡尺、测距仪等不能提供有效校准或检定证书</w:t>
            </w:r>
          </w:p>
        </w:tc>
        <w:tc>
          <w:tcPr>
            <w:tcW w:w="1762" w:type="dxa"/>
            <w:vAlign w:val="center"/>
          </w:tcPr>
          <w:p>
            <w:pPr>
              <w:pStyle w:val="6"/>
              <w:pBdr>
                <w:bottom w:val="none" w:color="auto" w:sz="0" w:space="0"/>
              </w:pBdr>
              <w:ind w:right="600" w:rightChars="0"/>
              <w:jc w:val="both"/>
              <w:rPr>
                <w:rFonts w:ascii="Calibri" w:hAnsi="Calibri" w:eastAsia="宋体" w:cs="Times New Roman"/>
                <w:color w:val="000000" w:themeColor="text1"/>
                <w:kern w:val="2"/>
                <w:sz w:val="21"/>
                <w:szCs w:val="21"/>
                <w:lang w:val="en-US" w:eastAsia="zh-CN" w:bidi="ar-SA"/>
              </w:rPr>
            </w:pPr>
            <w:r>
              <w:rPr>
                <w:rFonts w:hint="eastAsia"/>
                <w:color w:val="000000" w:themeColor="text1"/>
                <w:sz w:val="21"/>
                <w:szCs w:val="21"/>
              </w:rPr>
              <w:t>GB/T19001-2026、GB/T50430-2017</w:t>
            </w:r>
          </w:p>
        </w:tc>
        <w:tc>
          <w:tcPr>
            <w:tcW w:w="1133" w:type="dxa"/>
            <w:vAlign w:val="center"/>
          </w:tcPr>
          <w:p>
            <w:pPr>
              <w:pStyle w:val="6"/>
              <w:pBdr>
                <w:bottom w:val="none" w:color="auto" w:sz="0" w:space="0"/>
              </w:pBdr>
              <w:ind w:right="600" w:rightChars="0"/>
              <w:jc w:val="both"/>
              <w:rPr>
                <w:rFonts w:ascii="Calibri" w:hAnsi="Calibri" w:eastAsia="宋体" w:cs="Times New Roman"/>
                <w:color w:val="000000" w:themeColor="text1"/>
                <w:kern w:val="2"/>
                <w:sz w:val="21"/>
                <w:szCs w:val="21"/>
                <w:lang w:val="en-US" w:eastAsia="zh-CN" w:bidi="ar-SA"/>
              </w:rPr>
            </w:pPr>
            <w:r>
              <w:rPr>
                <w:rFonts w:hint="eastAsia"/>
                <w:color w:val="000000" w:themeColor="text1"/>
                <w:sz w:val="21"/>
                <w:szCs w:val="21"/>
              </w:rPr>
              <w:t>7.1.5/11.4.2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5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6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668655</wp:posOffset>
                  </wp:positionH>
                  <wp:positionV relativeFrom="paragraph">
                    <wp:posOffset>12065</wp:posOffset>
                  </wp:positionV>
                  <wp:extent cx="484505" cy="494665"/>
                  <wp:effectExtent l="0" t="0" r="10795" b="635"/>
                  <wp:wrapNone/>
                  <wp:docPr id="3" name="图片 3"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老师电子签名"/>
                          <pic:cNvPicPr>
                            <a:picLocks noChangeAspect="1"/>
                          </pic:cNvPicPr>
                        </pic:nvPicPr>
                        <pic:blipFill>
                          <a:blip r:embed="rId6"/>
                          <a:stretch>
                            <a:fillRect/>
                          </a:stretch>
                        </pic:blipFill>
                        <pic:spPr>
                          <a:xfrm>
                            <a:off x="0" y="0"/>
                            <a:ext cx="484505" cy="49466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2022年06月02日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2022年06月02日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Times New Roman" w:hAnsi="Times New Roman" w:cs="Times New Roman"/>
                <w:b/>
                <w:color w:val="000000"/>
                <w:spacing w:val="-12"/>
                <w:szCs w:val="21"/>
              </w:rPr>
            </w:pPr>
            <w:r>
              <w:rPr>
                <w:rFonts w:hint="eastAsia" w:ascii="Times New Roman" w:hAnsi="Times New Roman" w:cs="Times New Roman"/>
                <w:b/>
                <w:color w:val="000000"/>
                <w:spacing w:val="-12"/>
                <w:szCs w:val="21"/>
              </w:rPr>
              <w:t>对一阶段现场审核严重问题整改结果的验证结论：</w:t>
            </w:r>
          </w:p>
          <w:p>
            <w:pPr>
              <w:spacing w:line="360" w:lineRule="exact"/>
              <w:rPr>
                <w:rFonts w:hint="eastAsia" w:ascii="Times New Roman" w:hAnsi="Times New Roman" w:cs="Times New Roman"/>
                <w:b/>
                <w:color w:val="000000"/>
                <w:spacing w:val="-12"/>
                <w:szCs w:val="21"/>
              </w:rPr>
            </w:pPr>
            <w:r>
              <w:rPr>
                <w:rFonts w:hint="eastAsia" w:ascii="Times New Roman" w:hAnsi="Times New Roman" w:cs="Times New Roman"/>
                <w:b/>
                <w:color w:val="000000"/>
                <w:spacing w:val="-12"/>
                <w:szCs w:val="21"/>
              </w:rPr>
              <w:t>□所有严重问题全部整改，并符合要求</w:t>
            </w:r>
            <w:r>
              <w:rPr>
                <w:rFonts w:hint="eastAsia" w:ascii="Times New Roman" w:hAnsi="Times New Roman" w:cs="Times New Roman"/>
                <w:b/>
                <w:color w:val="000000"/>
                <w:spacing w:val="-12"/>
                <w:szCs w:val="21"/>
              </w:rPr>
              <w:sym w:font="Wingdings 2" w:char="0052"/>
            </w:r>
            <w:r>
              <w:rPr>
                <w:rFonts w:hint="eastAsia" w:ascii="Times New Roman" w:hAnsi="Times New Roman" w:cs="Times New Roman"/>
                <w:b/>
                <w:color w:val="000000"/>
                <w:spacing w:val="-12"/>
                <w:szCs w:val="21"/>
              </w:rPr>
              <w:t>未按期完成整改□整改后不符合要求，需重新整改.</w:t>
            </w:r>
          </w:p>
          <w:p>
            <w:pPr>
              <w:spacing w:line="360" w:lineRule="exact"/>
              <w:rPr>
                <w:rFonts w:hint="eastAsia" w:ascii="Times New Roman" w:hAnsi="Times New Roman" w:cs="Times New Roman"/>
                <w:b/>
                <w:color w:val="000000"/>
                <w:spacing w:val="-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128" w:type="dxa"/>
            <w:gridSpan w:val="6"/>
          </w:tcPr>
          <w:p>
            <w:pPr>
              <w:spacing w:line="360" w:lineRule="exact"/>
              <w:rPr>
                <w:rFonts w:hint="eastAsia" w:ascii="Times New Roman" w:hAnsi="Times New Roman" w:cs="Times New Roman"/>
                <w:b/>
                <w:color w:val="000000"/>
                <w:spacing w:val="-12"/>
                <w:szCs w:val="21"/>
              </w:rPr>
            </w:pPr>
            <w:r>
              <w:rPr>
                <w:rFonts w:hint="eastAsia" w:ascii="Times New Roman" w:hAnsi="Times New Roman" w:cs="Times New Roman"/>
                <w:b/>
                <w:color w:val="000000"/>
                <w:spacing w:val="-12"/>
                <w:szCs w:val="21"/>
              </w:rPr>
              <w:t>推荐意见：■可进行二阶段审核□需再次安排一阶段审核□不进入二阶段审核</w:t>
            </w:r>
            <w:r>
              <w:rPr>
                <w:rFonts w:hint="eastAsia" w:ascii="Times New Roman" w:hAnsi="Times New Roman" w:cs="Times New Roman"/>
                <w:b/>
                <w:color w:val="000000"/>
                <w:spacing w:val="-12"/>
                <w:szCs w:val="21"/>
              </w:rPr>
              <w:tab/>
            </w:r>
          </w:p>
          <w:p>
            <w:pPr>
              <w:spacing w:line="360" w:lineRule="exact"/>
              <w:rPr>
                <w:rFonts w:hint="eastAsia" w:ascii="Times New Roman" w:hAnsi="Times New Roman" w:cs="Times New Roman"/>
                <w:b/>
                <w:color w:val="000000"/>
                <w:spacing w:val="-12"/>
                <w:szCs w:val="21"/>
              </w:rPr>
            </w:pPr>
            <w:r>
              <w:rPr>
                <w:rFonts w:hint="eastAsia" w:ascii="Times New Roman" w:hAnsi="Times New Roman" w:cs="Times New Roman"/>
                <w:b/>
                <w:color w:val="000000"/>
                <w:spacing w:val="-12"/>
                <w:szCs w:val="21"/>
                <w:lang w:eastAsia="zh-CN"/>
              </w:rPr>
              <w:drawing>
                <wp:anchor distT="0" distB="0" distL="114300" distR="114300" simplePos="0" relativeHeight="251665408" behindDoc="0" locked="0" layoutInCell="1" allowOverlap="1">
                  <wp:simplePos x="0" y="0"/>
                  <wp:positionH relativeFrom="column">
                    <wp:posOffset>522605</wp:posOffset>
                  </wp:positionH>
                  <wp:positionV relativeFrom="paragraph">
                    <wp:posOffset>151765</wp:posOffset>
                  </wp:positionV>
                  <wp:extent cx="484505" cy="494665"/>
                  <wp:effectExtent l="0" t="0" r="10795" b="635"/>
                  <wp:wrapNone/>
                  <wp:docPr id="5" name="图片 5"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老师电子签名"/>
                          <pic:cNvPicPr>
                            <a:picLocks noChangeAspect="1"/>
                          </pic:cNvPicPr>
                        </pic:nvPicPr>
                        <pic:blipFill>
                          <a:blip r:embed="rId6"/>
                          <a:stretch>
                            <a:fillRect/>
                          </a:stretch>
                        </pic:blipFill>
                        <pic:spPr>
                          <a:xfrm>
                            <a:off x="0" y="0"/>
                            <a:ext cx="484505" cy="494665"/>
                          </a:xfrm>
                          <a:prstGeom prst="rect">
                            <a:avLst/>
                          </a:prstGeom>
                        </pic:spPr>
                      </pic:pic>
                    </a:graphicData>
                  </a:graphic>
                </wp:anchor>
              </w:drawing>
            </w:r>
          </w:p>
          <w:p>
            <w:pPr>
              <w:spacing w:line="360" w:lineRule="exact"/>
              <w:rPr>
                <w:rFonts w:hint="eastAsia" w:ascii="Times New Roman" w:hAnsi="Times New Roman" w:cs="Times New Roman"/>
                <w:b/>
                <w:color w:val="000000"/>
                <w:spacing w:val="-12"/>
                <w:szCs w:val="21"/>
              </w:rPr>
            </w:pPr>
          </w:p>
          <w:p>
            <w:pPr>
              <w:spacing w:line="360" w:lineRule="exact"/>
              <w:rPr>
                <w:rFonts w:hint="eastAsia" w:ascii="Times New Roman" w:hAnsi="Times New Roman" w:cs="Times New Roman"/>
                <w:b/>
                <w:color w:val="000000"/>
                <w:spacing w:val="-12"/>
                <w:szCs w:val="21"/>
              </w:rPr>
            </w:pPr>
            <w:r>
              <w:rPr>
                <w:rFonts w:hint="eastAsia" w:ascii="Times New Roman" w:hAnsi="Times New Roman" w:cs="Times New Roman"/>
                <w:b/>
                <w:color w:val="000000"/>
                <w:spacing w:val="-12"/>
                <w:szCs w:val="21"/>
              </w:rPr>
              <w:t>验证人：</w:t>
            </w:r>
            <w:r>
              <w:rPr>
                <w:rFonts w:hint="eastAsia" w:ascii="Times New Roman" w:hAnsi="Times New Roman" w:cs="Times New Roman"/>
                <w:b/>
                <w:color w:val="000000"/>
                <w:spacing w:val="-12"/>
                <w:szCs w:val="21"/>
                <w:lang w:val="en-US" w:eastAsia="zh-CN"/>
              </w:rPr>
              <w:t xml:space="preserve">            </w:t>
            </w:r>
            <w:r>
              <w:rPr>
                <w:rFonts w:hint="eastAsia" w:ascii="Times New Roman" w:hAnsi="Times New Roman" w:cs="Times New Roman"/>
                <w:b/>
                <w:color w:val="000000"/>
                <w:spacing w:val="-12"/>
                <w:szCs w:val="21"/>
              </w:rPr>
              <w:t>日期：</w:t>
            </w:r>
            <w:r>
              <w:rPr>
                <w:rFonts w:hint="eastAsia" w:ascii="Times New Roman" w:hAnsi="Times New Roman" w:cs="Times New Roman"/>
                <w:b/>
                <w:color w:val="000000"/>
                <w:spacing w:val="-12"/>
                <w:szCs w:val="21"/>
                <w:lang w:val="en-US" w:eastAsia="zh-CN"/>
              </w:rPr>
              <w:t>2022年06月03日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0" w:name="_GoBack"/>
            <w:bookmarkEnd w:id="30"/>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BC0BC5C1"/>
    <w:multiLevelType w:val="singleLevel"/>
    <w:tmpl w:val="BC0BC5C1"/>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06DB7BA5"/>
    <w:rsid w:val="06E8731C"/>
    <w:rsid w:val="09B376C1"/>
    <w:rsid w:val="0FDD2DE3"/>
    <w:rsid w:val="131B2827"/>
    <w:rsid w:val="14022339"/>
    <w:rsid w:val="15F1161D"/>
    <w:rsid w:val="1D6073A4"/>
    <w:rsid w:val="28DC43AF"/>
    <w:rsid w:val="29CE1B9C"/>
    <w:rsid w:val="349F4C0E"/>
    <w:rsid w:val="3AB807D8"/>
    <w:rsid w:val="4642189D"/>
    <w:rsid w:val="500876B4"/>
    <w:rsid w:val="52D95337"/>
    <w:rsid w:val="5E6F4DA2"/>
    <w:rsid w:val="5F4A7A85"/>
    <w:rsid w:val="5FA85AEC"/>
    <w:rsid w:val="61712897"/>
    <w:rsid w:val="65815AE7"/>
    <w:rsid w:val="6A445335"/>
    <w:rsid w:val="73D94D40"/>
    <w:rsid w:val="752155EA"/>
    <w:rsid w:val="759C4277"/>
    <w:rsid w:val="771542E1"/>
    <w:rsid w:val="7BE81F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5778</Words>
  <Characters>6732</Characters>
  <Lines>67</Lines>
  <Paragraphs>18</Paragraphs>
  <TotalTime>1</TotalTime>
  <ScaleCrop>false</ScaleCrop>
  <LinksUpToDate>false</LinksUpToDate>
  <CharactersWithSpaces>6824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2022-06-10T05:58:22Z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