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成都华西公用医疗信息服务有限公司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中国（四川）自由贸易试验区成都高新区天府大道北段966号4号楼8层</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中国（四川）自由贸易试验区成都高新区天府大道北段966号4号楼8层</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白书祯</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18380100393</w:t>
            </w:r>
            <w:bookmarkEnd w:id="4"/>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5" w:name="联系人邮箱"/>
            <w:r>
              <w:rPr>
                <w:sz w:val="21"/>
                <w:szCs w:val="21"/>
              </w:rPr>
              <w:t>1874952083@qq.com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bookmarkStart w:id="6" w:name="最高管理者"/>
            <w:bookmarkEnd w:id="6"/>
            <w:r>
              <w:rPr>
                <w:rFonts w:hint="eastAsia"/>
                <w:sz w:val="21"/>
                <w:szCs w:val="21"/>
                <w:lang w:eastAsia="zh-CN"/>
              </w:rPr>
              <w:t>岳义丰</w:t>
            </w:r>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7" w:name="管代电话"/>
            <w:bookmarkEnd w:id="7"/>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8" w:name="合同编号"/>
            <w:r>
              <w:rPr>
                <w:sz w:val="20"/>
              </w:rPr>
              <w:t>0534-2021-QEO-2022</w:t>
            </w:r>
            <w:bookmarkEnd w:id="8"/>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w:t>
            </w:r>
            <w:r>
              <w:rPr>
                <w:rFonts w:hint="eastAsia" w:ascii="宋体" w:hAnsi="宋体"/>
                <w:b/>
                <w:bCs/>
                <w:sz w:val="20"/>
                <w:lang w:val="en-US" w:eastAsia="zh-CN"/>
              </w:rPr>
              <w:t xml:space="preserve"> </w:t>
            </w:r>
            <w:r>
              <w:rPr>
                <w:rFonts w:hint="eastAsia" w:ascii="宋体" w:hAnsi="宋体"/>
                <w:b/>
                <w:bCs/>
                <w:sz w:val="20"/>
              </w:rPr>
              <w:t>）阶段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bookmarkStart w:id="18" w:name="现场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现场审核   </w:t>
            </w:r>
            <w:bookmarkStart w:id="19" w:name="远程审核勾选"/>
            <w:r>
              <w:rPr>
                <w:rFonts w:hint="eastAsia" w:ascii="宋体" w:hAnsi="宋体" w:cs="宋体"/>
                <w:color w:val="000000"/>
                <w:kern w:val="0"/>
                <w:szCs w:val="24"/>
              </w:rPr>
              <w:t>□</w:t>
            </w:r>
            <w:bookmarkEnd w:id="19"/>
            <w:r>
              <w:rPr>
                <w:rFonts w:hint="eastAsia" w:ascii="宋体" w:hAnsi="宋体" w:cs="宋体"/>
                <w:color w:val="000000"/>
                <w:kern w:val="0"/>
                <w:szCs w:val="21"/>
              </w:rPr>
              <w:t xml:space="preserve">远程审核   </w:t>
            </w:r>
            <w:bookmarkStart w:id="20" w:name="现场与远程审核勾选"/>
            <w:r>
              <w:rPr>
                <w:rFonts w:hint="eastAsia" w:ascii="宋体" w:hAnsi="宋体" w:cs="宋体"/>
                <w:color w:val="000000"/>
                <w:kern w:val="0"/>
                <w:szCs w:val="24"/>
              </w:rPr>
              <w:t>□</w:t>
            </w:r>
            <w:bookmarkEnd w:id="20"/>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21" w:name="二阶段勾选"/>
            <w:r>
              <w:rPr>
                <w:rFonts w:hint="eastAsia" w:ascii="宋体" w:hAnsi="宋体"/>
                <w:b/>
                <w:bCs/>
                <w:sz w:val="20"/>
                <w:szCs w:val="22"/>
              </w:rPr>
              <w:t>□</w:t>
            </w:r>
            <w:bookmarkEnd w:id="21"/>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2" w:name="再认证勾选Add1"/>
            <w:r>
              <w:rPr>
                <w:rFonts w:hint="eastAsia" w:ascii="宋体" w:hAnsi="宋体"/>
                <w:b/>
                <w:bCs/>
                <w:sz w:val="20"/>
                <w:szCs w:val="22"/>
              </w:rPr>
              <w:t>□</w:t>
            </w:r>
            <w:bookmarkEnd w:id="22"/>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3" w:name="特殊审核勾选"/>
            <w:r>
              <w:rPr>
                <w:rFonts w:hint="eastAsia" w:ascii="宋体" w:hAnsi="宋体"/>
                <w:b/>
                <w:bCs/>
                <w:sz w:val="20"/>
                <w:szCs w:val="22"/>
              </w:rPr>
              <w:t>□</w:t>
            </w:r>
            <w:bookmarkEnd w:id="23"/>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lang w:eastAsia="zh-CN"/>
              </w:rPr>
              <w:t>☑</w:t>
            </w: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4" w:name="审核范围"/>
            <w:r>
              <w:rPr>
                <w:sz w:val="20"/>
              </w:rPr>
              <w:t>Q：医疗管理信息系统集成及相关应用软件的设计与开发</w:t>
            </w:r>
          </w:p>
          <w:p>
            <w:pPr>
              <w:rPr>
                <w:sz w:val="20"/>
              </w:rPr>
            </w:pPr>
            <w:r>
              <w:rPr>
                <w:sz w:val="20"/>
              </w:rPr>
              <w:t>E：医疗管理信息系统集成及相关应用软件的设计与开发所涉及场所的相关环境管理活动</w:t>
            </w:r>
          </w:p>
          <w:p>
            <w:pPr>
              <w:rPr>
                <w:sz w:val="20"/>
              </w:rPr>
            </w:pPr>
            <w:r>
              <w:rPr>
                <w:sz w:val="20"/>
              </w:rPr>
              <w:t>O：医疗管理信息系统集成及相关应用软件的设计与开发所涉及场所的相关职业健康安全管理活动</w:t>
            </w:r>
            <w:bookmarkEnd w:id="24"/>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5" w:name="专业代码"/>
            <w:r>
              <w:rPr>
                <w:sz w:val="20"/>
              </w:rPr>
              <w:t>Q：33.02.01;33.02.02</w:t>
            </w:r>
          </w:p>
          <w:p>
            <w:pPr>
              <w:jc w:val="left"/>
              <w:rPr>
                <w:sz w:val="20"/>
              </w:rPr>
            </w:pPr>
            <w:r>
              <w:rPr>
                <w:sz w:val="20"/>
              </w:rPr>
              <w:t>E：33.02.01;33.02.02</w:t>
            </w:r>
          </w:p>
          <w:p>
            <w:pPr>
              <w:jc w:val="left"/>
              <w:rPr>
                <w:sz w:val="20"/>
              </w:rPr>
            </w:pPr>
            <w:r>
              <w:rPr>
                <w:sz w:val="20"/>
              </w:rPr>
              <w:t>O：33.02.01;33.02.02</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6" w:name="Q勾选Add1"/>
            <w:r>
              <w:rPr>
                <w:rFonts w:hint="eastAsia" w:ascii="宋体" w:hAnsi="宋体"/>
                <w:b/>
                <w:sz w:val="21"/>
                <w:szCs w:val="21"/>
              </w:rPr>
              <w:t>■</w:t>
            </w:r>
            <w:bookmarkEnd w:id="26"/>
            <w:r>
              <w:rPr>
                <w:rFonts w:hint="eastAsia" w:ascii="宋体" w:hAnsi="宋体"/>
                <w:b/>
                <w:sz w:val="21"/>
                <w:szCs w:val="21"/>
              </w:rPr>
              <w:t xml:space="preserve">GB/T19001-2016/ISO 9001:2015   </w:t>
            </w:r>
            <w:bookmarkStart w:id="27" w:name="QJ勾选"/>
            <w:r>
              <w:rPr>
                <w:rFonts w:hint="eastAsia" w:ascii="宋体" w:hAnsi="宋体"/>
                <w:b/>
                <w:sz w:val="21"/>
                <w:szCs w:val="21"/>
              </w:rPr>
              <w:t>□</w:t>
            </w:r>
            <w:bookmarkEnd w:id="27"/>
            <w:r>
              <w:rPr>
                <w:rFonts w:hint="eastAsia" w:ascii="宋体" w:hAnsi="宋体"/>
                <w:b/>
                <w:sz w:val="21"/>
                <w:szCs w:val="21"/>
              </w:rPr>
              <w:t>GB/T 50430-2017</w:t>
            </w:r>
            <w:bookmarkStart w:id="28" w:name="E勾选Add1"/>
            <w:r>
              <w:rPr>
                <w:rFonts w:hint="eastAsia" w:ascii="宋体" w:hAnsi="宋体"/>
                <w:b/>
                <w:sz w:val="21"/>
                <w:szCs w:val="21"/>
              </w:rPr>
              <w:t>■</w:t>
            </w:r>
            <w:bookmarkEnd w:id="28"/>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9" w:name="S勾选"/>
            <w:r>
              <w:rPr>
                <w:rFonts w:hint="eastAsia" w:ascii="宋体" w:hAnsi="宋体"/>
                <w:b/>
                <w:sz w:val="21"/>
                <w:szCs w:val="21"/>
              </w:rPr>
              <w:t>■</w:t>
            </w:r>
            <w:bookmarkEnd w:id="29"/>
            <w:r>
              <w:rPr>
                <w:rFonts w:hint="eastAsia" w:ascii="宋体" w:hAnsi="宋体"/>
                <w:b/>
                <w:sz w:val="21"/>
                <w:szCs w:val="21"/>
              </w:rPr>
              <w:t xml:space="preserve">GB/T45001-2020/ISO45001：2020标准 </w:t>
            </w:r>
            <w:bookmarkStart w:id="30" w:name="F勾选Add1"/>
            <w:r>
              <w:rPr>
                <w:rFonts w:hint="eastAsia" w:ascii="宋体" w:hAnsi="宋体"/>
                <w:b/>
                <w:sz w:val="21"/>
                <w:szCs w:val="21"/>
              </w:rPr>
              <w:t>□</w:t>
            </w:r>
            <w:bookmarkEnd w:id="30"/>
            <w:r>
              <w:rPr>
                <w:rFonts w:hint="eastAsia" w:ascii="宋体" w:hAnsi="宋体"/>
                <w:b/>
                <w:sz w:val="21"/>
                <w:szCs w:val="21"/>
              </w:rPr>
              <w:t xml:space="preserve">ISO 22000:2018 </w:t>
            </w:r>
          </w:p>
          <w:p>
            <w:pPr>
              <w:jc w:val="left"/>
              <w:rPr>
                <w:rFonts w:ascii="宋体" w:hAnsi="宋体"/>
                <w:b/>
                <w:sz w:val="21"/>
                <w:szCs w:val="21"/>
              </w:rPr>
            </w:pPr>
            <w:bookmarkStart w:id="31" w:name="H勾选Add1"/>
            <w:r>
              <w:rPr>
                <w:rFonts w:hint="eastAsia" w:ascii="宋体" w:hAnsi="宋体"/>
                <w:b/>
                <w:sz w:val="21"/>
                <w:szCs w:val="21"/>
              </w:rPr>
              <w:t>□</w:t>
            </w:r>
            <w:bookmarkEnd w:id="31"/>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32" w:name="EnMS勾选Add1"/>
            <w:r>
              <w:rPr>
                <w:rFonts w:hint="eastAsia" w:ascii="宋体" w:hAnsi="宋体"/>
                <w:b/>
                <w:sz w:val="21"/>
                <w:szCs w:val="21"/>
              </w:rPr>
              <w:t>□</w:t>
            </w:r>
            <w:bookmarkEnd w:id="32"/>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 xml:space="preserve">适用于受审核方的法律法规及其他要求； </w:t>
            </w:r>
            <w:r>
              <w:rPr>
                <w:rFonts w:hint="eastAsia" w:ascii="宋体" w:hAnsi="宋体"/>
                <w:b/>
                <w:sz w:val="21"/>
                <w:szCs w:val="21"/>
                <w:lang w:eastAsia="zh-CN"/>
              </w:rPr>
              <w:t>☑</w:t>
            </w:r>
            <w:r>
              <w:rPr>
                <w:rFonts w:hint="eastAsia" w:ascii="宋体" w:hAnsi="宋体"/>
                <w:b/>
                <w:sz w:val="21"/>
                <w:szCs w:val="21"/>
              </w:rPr>
              <w:t>认证合同</w:t>
            </w:r>
          </w:p>
          <w:p>
            <w:pPr>
              <w:jc w:val="left"/>
              <w:rPr>
                <w:b/>
                <w:sz w:val="20"/>
                <w:lang w:val="de-DE"/>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w:t>
            </w:r>
            <w:bookmarkStart w:id="36" w:name="_GoBack"/>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3" w:name="审核日期"/>
            <w:r>
              <w:rPr>
                <w:rFonts w:hint="eastAsia"/>
                <w:b/>
                <w:sz w:val="20"/>
              </w:rPr>
              <w:t>2022年05月31日 上午至2022年06月02日 上午</w:t>
            </w:r>
            <w:bookmarkEnd w:id="33"/>
            <w:r>
              <w:rPr>
                <w:rFonts w:hint="eastAsia"/>
                <w:b/>
                <w:sz w:val="20"/>
              </w:rPr>
              <w:t>(共</w:t>
            </w:r>
            <w:bookmarkStart w:id="34" w:name="审核天数"/>
            <w:r>
              <w:rPr>
                <w:rFonts w:hint="eastAsia"/>
                <w:b/>
                <w:sz w:val="20"/>
              </w:rPr>
              <w:t>2.5</w:t>
            </w:r>
            <w:bookmarkEnd w:id="34"/>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eastAsia="zh-CN"/>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4"/>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sz w:val="20"/>
                <w:lang w:val="de-DE"/>
              </w:rPr>
            </w:pPr>
            <w:r>
              <w:rPr>
                <w:sz w:val="20"/>
                <w:lang w:val="de-DE"/>
              </w:rPr>
              <w:t>宋明珠</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2019-N1EMS-1247783</w:t>
            </w:r>
          </w:p>
          <w:p>
            <w:pPr>
              <w:jc w:val="center"/>
              <w:rPr>
                <w:sz w:val="20"/>
                <w:lang w:val="de-DE"/>
              </w:rPr>
            </w:pPr>
            <w:r>
              <w:rPr>
                <w:sz w:val="20"/>
                <w:lang w:val="de-DE"/>
              </w:rPr>
              <w:t>2021-N1OHSMS-1247783</w:t>
            </w:r>
          </w:p>
        </w:tc>
        <w:tc>
          <w:tcPr>
            <w:tcW w:w="1696" w:type="dxa"/>
            <w:gridSpan w:val="2"/>
            <w:vAlign w:val="center"/>
          </w:tcPr>
          <w:p>
            <w:pPr>
              <w:jc w:val="center"/>
              <w:rPr>
                <w:sz w:val="20"/>
                <w:lang w:val="de-DE"/>
              </w:rPr>
            </w:pPr>
            <w:r>
              <w:rPr>
                <w:sz w:val="20"/>
                <w:lang w:val="de-DE"/>
              </w:rPr>
              <w:t>Q:33.02.01,33.02.02</w:t>
            </w:r>
          </w:p>
          <w:p>
            <w:pPr>
              <w:jc w:val="center"/>
              <w:rPr>
                <w:sz w:val="20"/>
                <w:lang w:val="de-DE"/>
              </w:rPr>
            </w:pPr>
            <w:r>
              <w:rPr>
                <w:sz w:val="20"/>
                <w:lang w:val="de-DE"/>
              </w:rPr>
              <w:t>E:33.02.01,33.02.02</w:t>
            </w:r>
          </w:p>
          <w:p>
            <w:pPr>
              <w:jc w:val="center"/>
              <w:rPr>
                <w:sz w:val="20"/>
                <w:lang w:val="de-DE"/>
              </w:rPr>
            </w:pPr>
            <w:r>
              <w:rPr>
                <w:sz w:val="20"/>
                <w:lang w:val="de-DE"/>
              </w:rPr>
              <w:t>O:33.02.01,33.02.02</w:t>
            </w:r>
          </w:p>
        </w:tc>
        <w:tc>
          <w:tcPr>
            <w:tcW w:w="1299" w:type="dxa"/>
            <w:gridSpan w:val="4"/>
            <w:vAlign w:val="center"/>
          </w:tcPr>
          <w:p>
            <w:pPr>
              <w:jc w:val="center"/>
              <w:rPr>
                <w:sz w:val="20"/>
                <w:lang w:val="de-DE"/>
              </w:rPr>
            </w:pPr>
            <w:r>
              <w:rPr>
                <w:sz w:val="20"/>
                <w:lang w:val="de-DE"/>
              </w:rPr>
              <w:t>15101755070</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sz w:val="20"/>
                <w:lang w:val="de-DE"/>
              </w:rPr>
            </w:pPr>
            <w:r>
              <w:rPr>
                <w:sz w:val="20"/>
                <w:lang w:val="de-DE"/>
              </w:rPr>
              <w:t>陈伟</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2020-N1QMS-1265256</w:t>
            </w:r>
          </w:p>
          <w:p>
            <w:pPr>
              <w:jc w:val="center"/>
              <w:rPr>
                <w:sz w:val="20"/>
                <w:lang w:val="de-DE"/>
              </w:rPr>
            </w:pPr>
            <w:r>
              <w:rPr>
                <w:sz w:val="20"/>
                <w:lang w:val="de-DE"/>
              </w:rPr>
              <w:t>2021-N1EMS-1265256</w:t>
            </w:r>
          </w:p>
        </w:tc>
        <w:tc>
          <w:tcPr>
            <w:tcW w:w="1696" w:type="dxa"/>
            <w:gridSpan w:val="2"/>
            <w:vAlign w:val="center"/>
          </w:tcPr>
          <w:p>
            <w:pPr>
              <w:jc w:val="center"/>
              <w:rPr>
                <w:sz w:val="20"/>
                <w:lang w:val="de-DE"/>
              </w:rPr>
            </w:pPr>
          </w:p>
        </w:tc>
        <w:tc>
          <w:tcPr>
            <w:tcW w:w="1299" w:type="dxa"/>
            <w:gridSpan w:val="4"/>
            <w:vAlign w:val="center"/>
          </w:tcPr>
          <w:p>
            <w:pPr>
              <w:jc w:val="center"/>
              <w:rPr>
                <w:sz w:val="20"/>
                <w:lang w:val="de-DE"/>
              </w:rPr>
            </w:pPr>
            <w:r>
              <w:rPr>
                <w:sz w:val="20"/>
                <w:lang w:val="de-DE"/>
              </w:rPr>
              <w:t>18244225770</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sz w:val="21"/>
                <w:szCs w:val="21"/>
              </w:rPr>
            </w:pPr>
            <w:r>
              <w:drawing>
                <wp:anchor distT="0" distB="0" distL="114300" distR="114300" simplePos="0" relativeHeight="251661312" behindDoc="0" locked="0" layoutInCell="1" allowOverlap="1">
                  <wp:simplePos x="0" y="0"/>
                  <wp:positionH relativeFrom="column">
                    <wp:posOffset>71120</wp:posOffset>
                  </wp:positionH>
                  <wp:positionV relativeFrom="paragraph">
                    <wp:posOffset>102235</wp:posOffset>
                  </wp:positionV>
                  <wp:extent cx="590550" cy="269875"/>
                  <wp:effectExtent l="0" t="0" r="0" b="15875"/>
                  <wp:wrapNone/>
                  <wp:docPr id="1" name="图片 1"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AppData\Local\Temp\WeChat Files\5312dc77a33e48f7e27afd135593673.png"/>
                          <pic:cNvPicPr>
                            <a:picLocks noChangeAspect="1" noChangeArrowheads="1"/>
                          </pic:cNvPicPr>
                        </pic:nvPicPr>
                        <pic:blipFill>
                          <a:blip r:embed="rId5" cstate="print"/>
                          <a:srcRect/>
                          <a:stretch>
                            <a:fillRect/>
                          </a:stretch>
                        </pic:blipFill>
                        <pic:spPr>
                          <a:xfrm>
                            <a:off x="0" y="0"/>
                            <a:ext cx="590550" cy="269875"/>
                          </a:xfrm>
                          <a:prstGeom prst="rect">
                            <a:avLst/>
                          </a:prstGeom>
                          <a:noFill/>
                          <a:ln w="9525">
                            <a:noFill/>
                            <a:miter lim="800000"/>
                            <a:headEnd/>
                            <a:tailEnd/>
                          </a:ln>
                        </pic:spPr>
                      </pic:pic>
                    </a:graphicData>
                  </a:graphic>
                </wp:anchor>
              </w:drawing>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bookmarkStart w:id="35" w:name="审核派遣人"/>
            <w:r>
              <w:rPr>
                <w:sz w:val="21"/>
                <w:szCs w:val="21"/>
              </w:rPr>
              <w:t>李永忠</w:t>
            </w:r>
            <w:bookmarkEnd w:id="35"/>
          </w:p>
        </w:tc>
        <w:tc>
          <w:tcPr>
            <w:tcW w:w="2061"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sz w:val="21"/>
                <w:szCs w:val="21"/>
              </w:rPr>
            </w:pPr>
            <w:r>
              <w:rPr>
                <w:sz w:val="20"/>
                <w:lang w:val="de-DE"/>
              </w:rPr>
              <w:t>15101755070</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sz w:val="21"/>
                <w:szCs w:val="21"/>
              </w:rPr>
            </w:pPr>
          </w:p>
        </w:tc>
        <w:tc>
          <w:tcPr>
            <w:tcW w:w="13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2022.5.27</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r>
              <w:rPr>
                <w:rFonts w:hint="eastAsia"/>
                <w:sz w:val="21"/>
                <w:szCs w:val="21"/>
                <w:lang w:val="en-US" w:eastAsia="zh-CN"/>
              </w:rPr>
              <w:t>2022.5.27</w:t>
            </w:r>
          </w:p>
        </w:tc>
        <w:tc>
          <w:tcPr>
            <w:tcW w:w="2061" w:type="dxa"/>
            <w:gridSpan w:val="5"/>
            <w:vAlign w:val="center"/>
          </w:tcPr>
          <w:p>
            <w:pPr>
              <w:rPr>
                <w:sz w:val="21"/>
                <w:szCs w:val="21"/>
              </w:rPr>
            </w:pPr>
            <w:r>
              <w:rPr>
                <w:rFonts w:hint="eastAsia"/>
                <w:sz w:val="20"/>
              </w:rPr>
              <w:t>日期</w:t>
            </w:r>
          </w:p>
        </w:tc>
        <w:tc>
          <w:tcPr>
            <w:tcW w:w="1380" w:type="dxa"/>
            <w:vAlign w:val="center"/>
          </w:tcPr>
          <w:p>
            <w:pPr>
              <w:rPr>
                <w:sz w:val="21"/>
                <w:szCs w:val="21"/>
              </w:rPr>
            </w:pPr>
          </w:p>
        </w:tc>
      </w:tr>
    </w:tbl>
    <w:p/>
    <w:p>
      <w:pPr>
        <w:pStyle w:val="2"/>
      </w:pPr>
    </w:p>
    <w:p>
      <w:pPr>
        <w:pStyle w:val="2"/>
      </w:pPr>
    </w:p>
    <w:p>
      <w:pPr>
        <w:pStyle w:val="2"/>
      </w:pPr>
    </w:p>
    <w:p>
      <w:pPr>
        <w:pStyle w:val="2"/>
      </w:pPr>
    </w:p>
    <w:p>
      <w:pPr>
        <w:pStyle w:val="2"/>
      </w:pPr>
    </w:p>
    <w:tbl>
      <w:tblPr>
        <w:tblStyle w:val="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639"/>
        <w:gridCol w:w="992"/>
        <w:gridCol w:w="5509"/>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5"/>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63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99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550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226"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011" w:type="dxa"/>
            <w:vMerge w:val="restart"/>
            <w:tcBorders>
              <w:left w:val="single" w:color="auto" w:sz="8" w:space="0"/>
            </w:tcBorders>
            <w:vAlign w:val="center"/>
          </w:tcPr>
          <w:p>
            <w:pPr>
              <w:snapToGrid w:val="0"/>
              <w:spacing w:line="280" w:lineRule="exact"/>
              <w:jc w:val="center"/>
              <w:rPr>
                <w:rFonts w:hint="eastAsia" w:ascii="宋体" w:hAnsi="宋体"/>
                <w:b/>
                <w:bCs/>
                <w:sz w:val="18"/>
                <w:szCs w:val="18"/>
              </w:rPr>
            </w:pPr>
            <w:r>
              <w:rPr>
                <w:rFonts w:hint="eastAsia" w:ascii="宋体" w:hAnsi="宋体"/>
                <w:b/>
                <w:bCs/>
                <w:sz w:val="18"/>
                <w:szCs w:val="18"/>
                <w:lang w:val="en-US" w:eastAsia="zh-CN"/>
              </w:rPr>
              <w:t>5</w:t>
            </w:r>
            <w:r>
              <w:rPr>
                <w:rFonts w:hint="eastAsia" w:ascii="宋体" w:hAnsi="宋体"/>
                <w:b/>
                <w:bCs/>
                <w:sz w:val="18"/>
                <w:szCs w:val="18"/>
              </w:rPr>
              <w:t>月</w:t>
            </w:r>
            <w:r>
              <w:rPr>
                <w:rFonts w:hint="eastAsia" w:ascii="宋体" w:hAnsi="宋体"/>
                <w:b/>
                <w:bCs/>
                <w:sz w:val="18"/>
                <w:szCs w:val="18"/>
                <w:lang w:val="en-US" w:eastAsia="zh-CN"/>
              </w:rPr>
              <w:t>31</w:t>
            </w:r>
            <w:r>
              <w:rPr>
                <w:rFonts w:hint="eastAsia" w:ascii="宋体" w:hAnsi="宋体"/>
                <w:b/>
                <w:bCs/>
                <w:sz w:val="18"/>
                <w:szCs w:val="18"/>
              </w:rPr>
              <w:t>日</w:t>
            </w:r>
          </w:p>
          <w:p>
            <w:pPr>
              <w:snapToGrid w:val="0"/>
              <w:spacing w:line="320" w:lineRule="exact"/>
              <w:rPr>
                <w:rFonts w:ascii="宋体" w:hAnsi="宋体"/>
                <w:b/>
                <w:bCs/>
                <w:sz w:val="21"/>
                <w:szCs w:val="21"/>
              </w:rPr>
            </w:pPr>
            <w:r>
              <w:rPr>
                <w:rFonts w:hint="eastAsia" w:ascii="宋体" w:hAnsi="宋体"/>
                <w:b/>
                <w:bCs/>
                <w:sz w:val="18"/>
                <w:szCs w:val="18"/>
              </w:rPr>
              <w:t>（午休12:00-1</w:t>
            </w:r>
            <w:r>
              <w:rPr>
                <w:rFonts w:hint="eastAsia" w:ascii="宋体" w:hAnsi="宋体"/>
                <w:b/>
                <w:bCs/>
                <w:sz w:val="18"/>
                <w:szCs w:val="18"/>
                <w:lang w:val="en-US" w:eastAsia="zh-CN"/>
              </w:rPr>
              <w:t>2</w:t>
            </w:r>
            <w:r>
              <w:rPr>
                <w:rFonts w:hint="eastAsia" w:ascii="宋体" w:hAnsi="宋体"/>
                <w:b/>
                <w:bCs/>
                <w:sz w:val="18"/>
                <w:szCs w:val="18"/>
              </w:rPr>
              <w:t>:</w:t>
            </w:r>
            <w:r>
              <w:rPr>
                <w:rFonts w:hint="eastAsia" w:ascii="宋体" w:hAnsi="宋体"/>
                <w:b/>
                <w:bCs/>
                <w:sz w:val="18"/>
                <w:szCs w:val="18"/>
                <w:lang w:val="en-US" w:eastAsia="zh-CN"/>
              </w:rPr>
              <w:t>3</w:t>
            </w:r>
            <w:r>
              <w:rPr>
                <w:rFonts w:hint="eastAsia" w:ascii="宋体" w:hAnsi="宋体"/>
                <w:b/>
                <w:bCs/>
                <w:sz w:val="18"/>
                <w:szCs w:val="18"/>
              </w:rPr>
              <w:t>0）</w:t>
            </w:r>
          </w:p>
          <w:p>
            <w:pPr>
              <w:snapToGrid w:val="0"/>
              <w:spacing w:line="280" w:lineRule="exact"/>
              <w:jc w:val="center"/>
              <w:rPr>
                <w:rFonts w:ascii="宋体" w:hAnsi="宋体"/>
                <w:b/>
                <w:bCs/>
                <w:sz w:val="21"/>
                <w:szCs w:val="21"/>
              </w:rPr>
            </w:pPr>
          </w:p>
          <w:p>
            <w:pPr>
              <w:snapToGrid w:val="0"/>
              <w:spacing w:line="280" w:lineRule="exact"/>
              <w:jc w:val="center"/>
              <w:rPr>
                <w:rFonts w:ascii="宋体" w:hAnsi="宋体"/>
                <w:b/>
                <w:bCs/>
                <w:sz w:val="21"/>
                <w:szCs w:val="21"/>
              </w:rPr>
            </w:pPr>
          </w:p>
        </w:tc>
        <w:tc>
          <w:tcPr>
            <w:tcW w:w="1639" w:type="dxa"/>
            <w:vAlign w:val="center"/>
          </w:tcPr>
          <w:p>
            <w:pPr>
              <w:snapToGrid w:val="0"/>
              <w:spacing w:line="280" w:lineRule="exact"/>
              <w:jc w:val="center"/>
              <w:rPr>
                <w:rFonts w:ascii="宋体" w:hAnsi="宋体"/>
                <w:b w:val="0"/>
                <w:bCs w:val="0"/>
                <w:sz w:val="21"/>
                <w:szCs w:val="21"/>
              </w:rPr>
            </w:pPr>
            <w:r>
              <w:rPr>
                <w:rFonts w:hint="eastAsia" w:ascii="宋体" w:hAnsi="宋体"/>
                <w:b w:val="0"/>
                <w:bCs w:val="0"/>
                <w:sz w:val="18"/>
                <w:szCs w:val="18"/>
              </w:rPr>
              <w:t>8:</w:t>
            </w:r>
            <w:r>
              <w:rPr>
                <w:rFonts w:hint="eastAsia" w:ascii="宋体" w:hAnsi="宋体"/>
                <w:b w:val="0"/>
                <w:bCs w:val="0"/>
                <w:sz w:val="18"/>
                <w:szCs w:val="18"/>
                <w:lang w:val="en-US" w:eastAsia="zh-CN"/>
              </w:rPr>
              <w:t>3</w:t>
            </w:r>
            <w:r>
              <w:rPr>
                <w:rFonts w:hint="eastAsia" w:ascii="宋体" w:hAnsi="宋体"/>
                <w:b w:val="0"/>
                <w:bCs w:val="0"/>
                <w:sz w:val="18"/>
                <w:szCs w:val="18"/>
              </w:rPr>
              <w:t>0-</w:t>
            </w:r>
            <w:r>
              <w:rPr>
                <w:rFonts w:hint="eastAsia" w:ascii="宋体" w:hAnsi="宋体"/>
                <w:b w:val="0"/>
                <w:bCs w:val="0"/>
                <w:sz w:val="18"/>
                <w:szCs w:val="18"/>
                <w:lang w:val="en-US" w:eastAsia="zh-CN"/>
              </w:rPr>
              <w:t>9</w:t>
            </w:r>
            <w:r>
              <w:rPr>
                <w:rFonts w:hint="eastAsia" w:ascii="宋体" w:hAnsi="宋体"/>
                <w:b w:val="0"/>
                <w:bCs w:val="0"/>
                <w:sz w:val="18"/>
                <w:szCs w:val="18"/>
              </w:rPr>
              <w:t>:</w:t>
            </w:r>
            <w:r>
              <w:rPr>
                <w:rFonts w:hint="eastAsia" w:ascii="宋体" w:hAnsi="宋体"/>
                <w:b w:val="0"/>
                <w:bCs w:val="0"/>
                <w:sz w:val="18"/>
                <w:szCs w:val="18"/>
                <w:lang w:val="en-US" w:eastAsia="zh-CN"/>
              </w:rPr>
              <w:t>0</w:t>
            </w:r>
            <w:r>
              <w:rPr>
                <w:rFonts w:hint="eastAsia" w:ascii="宋体" w:hAnsi="宋体"/>
                <w:b w:val="0"/>
                <w:bCs w:val="0"/>
                <w:sz w:val="18"/>
                <w:szCs w:val="18"/>
              </w:rPr>
              <w:t>0</w:t>
            </w:r>
          </w:p>
        </w:tc>
        <w:tc>
          <w:tcPr>
            <w:tcW w:w="6501" w:type="dxa"/>
            <w:gridSpan w:val="2"/>
            <w:vAlign w:val="center"/>
          </w:tcPr>
          <w:p>
            <w:pPr>
              <w:rPr>
                <w:rFonts w:ascii="宋体" w:hAnsi="宋体"/>
                <w:b/>
                <w:bCs/>
                <w:sz w:val="18"/>
              </w:rPr>
            </w:pPr>
            <w:r>
              <w:rPr>
                <w:rFonts w:hint="eastAsia" w:ascii="宋体" w:hAnsi="宋体"/>
                <w:b w:val="0"/>
                <w:bCs w:val="0"/>
                <w:sz w:val="18"/>
              </w:rPr>
              <w:t>首次会议</w:t>
            </w:r>
          </w:p>
        </w:tc>
        <w:tc>
          <w:tcPr>
            <w:tcW w:w="1226" w:type="dxa"/>
            <w:tcBorders>
              <w:right w:val="single" w:color="auto" w:sz="8" w:space="0"/>
            </w:tcBorders>
            <w:vAlign w:val="center"/>
          </w:tcPr>
          <w:p>
            <w:pPr>
              <w:snapToGrid w:val="0"/>
              <w:spacing w:line="280" w:lineRule="exact"/>
              <w:jc w:val="left"/>
              <w:rPr>
                <w:rFonts w:ascii="宋体" w:hAnsi="宋体"/>
                <w:b/>
                <w:bCs/>
                <w:sz w:val="21"/>
                <w:szCs w:val="21"/>
              </w:rPr>
            </w:pPr>
            <w:r>
              <w:rPr>
                <w:rFonts w:hint="eastAsia" w:ascii="宋体" w:hAnsi="宋体"/>
                <w:b/>
                <w:bCs/>
                <w:sz w:val="18"/>
                <w:szCs w:val="18"/>
                <w:lang w:eastAsia="zh-CN"/>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0"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639" w:type="dxa"/>
            <w:vAlign w:val="center"/>
          </w:tcPr>
          <w:p>
            <w:pPr>
              <w:snapToGrid w:val="0"/>
              <w:spacing w:line="280" w:lineRule="exact"/>
              <w:jc w:val="center"/>
              <w:rPr>
                <w:rFonts w:hint="eastAsia" w:ascii="宋体" w:hAnsi="宋体"/>
                <w:b w:val="0"/>
                <w:bCs w:val="0"/>
                <w:sz w:val="18"/>
                <w:szCs w:val="18"/>
              </w:rPr>
            </w:pPr>
            <w:r>
              <w:rPr>
                <w:rFonts w:hint="eastAsia" w:ascii="宋体" w:hAnsi="宋体"/>
                <w:b w:val="0"/>
                <w:bCs w:val="0"/>
                <w:sz w:val="18"/>
                <w:szCs w:val="18"/>
                <w:lang w:val="en-US" w:eastAsia="zh-CN"/>
              </w:rPr>
              <w:t>9</w:t>
            </w:r>
            <w:r>
              <w:rPr>
                <w:rFonts w:hint="eastAsia" w:ascii="宋体" w:hAnsi="宋体"/>
                <w:b w:val="0"/>
                <w:bCs w:val="0"/>
                <w:sz w:val="18"/>
                <w:szCs w:val="18"/>
              </w:rPr>
              <w:t>:</w:t>
            </w:r>
            <w:r>
              <w:rPr>
                <w:rFonts w:hint="eastAsia" w:ascii="宋体" w:hAnsi="宋体"/>
                <w:b w:val="0"/>
                <w:bCs w:val="0"/>
                <w:sz w:val="18"/>
                <w:szCs w:val="18"/>
                <w:lang w:val="en-US" w:eastAsia="zh-CN"/>
              </w:rPr>
              <w:t>00</w:t>
            </w:r>
            <w:r>
              <w:rPr>
                <w:rFonts w:hint="eastAsia" w:ascii="宋体" w:hAnsi="宋体"/>
                <w:b w:val="0"/>
                <w:bCs w:val="0"/>
                <w:sz w:val="18"/>
                <w:szCs w:val="18"/>
              </w:rPr>
              <w:t>-17:00</w:t>
            </w:r>
          </w:p>
          <w:p>
            <w:pPr>
              <w:snapToGrid w:val="0"/>
              <w:spacing w:line="280" w:lineRule="exact"/>
              <w:jc w:val="center"/>
              <w:rPr>
                <w:rFonts w:hint="eastAsia" w:ascii="宋体" w:hAnsi="宋体"/>
                <w:b w:val="0"/>
                <w:bCs w:val="0"/>
                <w:sz w:val="18"/>
                <w:szCs w:val="18"/>
              </w:rPr>
            </w:pPr>
          </w:p>
          <w:p>
            <w:pPr>
              <w:snapToGrid w:val="0"/>
              <w:spacing w:line="320" w:lineRule="exact"/>
              <w:jc w:val="center"/>
              <w:rPr>
                <w:rFonts w:ascii="宋体" w:hAnsi="宋体"/>
                <w:b w:val="0"/>
                <w:bCs w:val="0"/>
                <w:sz w:val="21"/>
                <w:szCs w:val="21"/>
              </w:rPr>
            </w:pPr>
          </w:p>
        </w:tc>
        <w:tc>
          <w:tcPr>
            <w:tcW w:w="992" w:type="dxa"/>
            <w:vMerge w:val="restart"/>
          </w:tcPr>
          <w:p>
            <w:pPr>
              <w:spacing w:line="300" w:lineRule="exact"/>
              <w:rPr>
                <w:rFonts w:ascii="宋体" w:hAnsi="宋体" w:cs="新宋体"/>
                <w:sz w:val="18"/>
                <w:szCs w:val="18"/>
              </w:rPr>
            </w:pPr>
            <w:r>
              <w:rPr>
                <w:rFonts w:hint="eastAsia" w:ascii="宋体" w:hAnsi="宋体" w:cs="新宋体"/>
                <w:sz w:val="18"/>
                <w:szCs w:val="18"/>
              </w:rPr>
              <w:t>管理层</w:t>
            </w:r>
          </w:p>
        </w:tc>
        <w:tc>
          <w:tcPr>
            <w:tcW w:w="5509" w:type="dxa"/>
          </w:tcPr>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QMS：</w:t>
            </w: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4.1组织及其环境；4.2相关方需求与期望；4.3确定体系范围；4.4体系及其过程；5.1领导作用与承诺；5.2方针；5.3组织的角色、职责和权限；6.1应对风险和机遇的措施；6.2目标及其实现的策划；6.3变更的策划；9.1.1监测、分析和评价总则；9.2内部审核；9.3管理评审；10.1改进 总则；10.3持续改进</w:t>
            </w: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EMS：</w:t>
            </w:r>
          </w:p>
          <w:p>
            <w:pPr>
              <w:snapToGrid w:val="0"/>
              <w:spacing w:line="240" w:lineRule="exact"/>
              <w:rPr>
                <w:rFonts w:ascii="宋体" w:hAnsi="宋体" w:cs="新宋体"/>
                <w:sz w:val="18"/>
                <w:szCs w:val="18"/>
              </w:rPr>
            </w:pPr>
            <w:r>
              <w:rPr>
                <w:rFonts w:hint="eastAsia" w:ascii="宋体" w:hAnsi="宋体" w:eastAsia="宋体" w:cs="新宋体"/>
                <w:sz w:val="18"/>
                <w:szCs w:val="18"/>
                <w:highlight w:val="none"/>
                <w:lang w:val="en-US" w:eastAsia="zh-CN"/>
              </w:rPr>
              <w:t>4.1组织及其环境；4.2相关方需求与期望；4.3确定体系范围；4.4体系；5.1领导作用与承诺；5.2方针；5.3组织的角色、职责和权限；6.1.1策划总则；6.1.4措施的策划；6.2目标及其实现的策划；9.1.1监测、分析和评估总则；9.2内部审核；9.3管理评审；10.1改进 总则；10.3持续改进</w:t>
            </w:r>
          </w:p>
        </w:tc>
        <w:tc>
          <w:tcPr>
            <w:tcW w:w="1226" w:type="dxa"/>
            <w:tcBorders>
              <w:right w:val="single" w:color="auto" w:sz="8" w:space="0"/>
            </w:tcBorders>
            <w:vAlign w:val="center"/>
          </w:tcPr>
          <w:p>
            <w:pPr>
              <w:snapToGrid w:val="0"/>
              <w:spacing w:line="280" w:lineRule="exact"/>
              <w:jc w:val="left"/>
              <w:rPr>
                <w:rFonts w:hint="eastAsia" w:ascii="宋体" w:hAnsi="宋体" w:eastAsia="宋体"/>
                <w:b/>
                <w:bCs/>
                <w:sz w:val="18"/>
                <w:szCs w:val="18"/>
                <w:lang w:eastAsia="zh-CN"/>
              </w:rPr>
            </w:pPr>
            <w:r>
              <w:rPr>
                <w:rFonts w:hint="eastAsia" w:ascii="宋体" w:hAnsi="宋体"/>
                <w:b w:val="0"/>
                <w:bCs w:val="0"/>
                <w:sz w:val="18"/>
                <w:szCs w:val="18"/>
                <w:lang w:eastAsia="zh-CN"/>
              </w:rPr>
              <w:t>陈伟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5" w:hRule="atLeast"/>
          <w:jc w:val="center"/>
        </w:trPr>
        <w:tc>
          <w:tcPr>
            <w:tcW w:w="1011" w:type="dxa"/>
            <w:vMerge w:val="continue"/>
            <w:tcBorders>
              <w:left w:val="single" w:color="auto" w:sz="8" w:space="0"/>
            </w:tcBorders>
          </w:tcPr>
          <w:p>
            <w:pPr>
              <w:spacing w:line="300" w:lineRule="exact"/>
            </w:pPr>
          </w:p>
        </w:tc>
        <w:tc>
          <w:tcPr>
            <w:tcW w:w="1639" w:type="dxa"/>
            <w:vAlign w:val="center"/>
          </w:tcPr>
          <w:p>
            <w:pPr>
              <w:snapToGrid w:val="0"/>
              <w:spacing w:line="280" w:lineRule="exact"/>
              <w:jc w:val="center"/>
              <w:rPr>
                <w:b w:val="0"/>
                <w:bCs w:val="0"/>
              </w:rPr>
            </w:pPr>
            <w:r>
              <w:rPr>
                <w:rFonts w:hint="eastAsia" w:ascii="宋体" w:hAnsi="宋体"/>
                <w:b w:val="0"/>
                <w:bCs w:val="0"/>
                <w:sz w:val="18"/>
                <w:szCs w:val="18"/>
                <w:lang w:val="en-US" w:eastAsia="zh-CN"/>
              </w:rPr>
              <w:t>9</w:t>
            </w:r>
            <w:r>
              <w:rPr>
                <w:rFonts w:hint="eastAsia" w:ascii="宋体" w:hAnsi="宋体"/>
                <w:b w:val="0"/>
                <w:bCs w:val="0"/>
                <w:sz w:val="18"/>
                <w:szCs w:val="18"/>
              </w:rPr>
              <w:t>:</w:t>
            </w:r>
            <w:r>
              <w:rPr>
                <w:rFonts w:hint="eastAsia" w:ascii="宋体" w:hAnsi="宋体"/>
                <w:b w:val="0"/>
                <w:bCs w:val="0"/>
                <w:sz w:val="18"/>
                <w:szCs w:val="18"/>
                <w:lang w:val="en-US" w:eastAsia="zh-CN"/>
              </w:rPr>
              <w:t>00</w:t>
            </w:r>
            <w:r>
              <w:rPr>
                <w:rFonts w:hint="eastAsia" w:ascii="宋体" w:hAnsi="宋体"/>
                <w:b w:val="0"/>
                <w:bCs w:val="0"/>
                <w:sz w:val="18"/>
                <w:szCs w:val="18"/>
              </w:rPr>
              <w:t>-1</w:t>
            </w:r>
            <w:r>
              <w:rPr>
                <w:rFonts w:hint="eastAsia" w:ascii="宋体" w:hAnsi="宋体"/>
                <w:b w:val="0"/>
                <w:bCs w:val="0"/>
                <w:sz w:val="18"/>
                <w:szCs w:val="18"/>
                <w:lang w:val="en-US" w:eastAsia="zh-CN"/>
              </w:rPr>
              <w:t>0</w:t>
            </w:r>
            <w:r>
              <w:rPr>
                <w:rFonts w:hint="eastAsia" w:ascii="宋体" w:hAnsi="宋体"/>
                <w:b w:val="0"/>
                <w:bCs w:val="0"/>
                <w:sz w:val="18"/>
                <w:szCs w:val="18"/>
              </w:rPr>
              <w:t>:</w:t>
            </w:r>
            <w:r>
              <w:rPr>
                <w:rFonts w:hint="eastAsia" w:ascii="宋体" w:hAnsi="宋体"/>
                <w:b w:val="0"/>
                <w:bCs w:val="0"/>
                <w:sz w:val="18"/>
                <w:szCs w:val="18"/>
                <w:lang w:val="en-US" w:eastAsia="zh-CN"/>
              </w:rPr>
              <w:t>3</w:t>
            </w:r>
            <w:r>
              <w:rPr>
                <w:rFonts w:hint="eastAsia" w:ascii="宋体" w:hAnsi="宋体"/>
                <w:b w:val="0"/>
                <w:bCs w:val="0"/>
                <w:sz w:val="18"/>
                <w:szCs w:val="18"/>
              </w:rPr>
              <w:t>0</w:t>
            </w:r>
          </w:p>
        </w:tc>
        <w:tc>
          <w:tcPr>
            <w:tcW w:w="992" w:type="dxa"/>
            <w:vMerge w:val="continue"/>
          </w:tcPr>
          <w:p>
            <w:pPr>
              <w:spacing w:line="300" w:lineRule="exact"/>
            </w:pPr>
          </w:p>
        </w:tc>
        <w:tc>
          <w:tcPr>
            <w:tcW w:w="5509" w:type="dxa"/>
          </w:tcPr>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OHSMS：</w:t>
            </w: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4.1组织及其环境；4.2相关方需求与期望；4.3确定体系范围；4.4体系；5.1领导作用与承诺；5.2方针；5.3组织的角色、职责和权限；5.4工作人员的协商和参与；6.1应对风险和机遇的措施；6.1.4措施的策划；6.2目标及其实现的策划；9.1监视、测量、分析和评价；9.2内部审核；9.3管理评审；10.1事件、不符合和纠正措施；10.2持续改进。</w:t>
            </w:r>
          </w:p>
          <w:p>
            <w:pPr>
              <w:snapToGrid w:val="0"/>
              <w:spacing w:line="240" w:lineRule="exact"/>
              <w:rPr>
                <w:rFonts w:hint="eastAsia" w:ascii="宋体" w:hAnsi="宋体" w:cs="新宋体"/>
                <w:sz w:val="18"/>
                <w:szCs w:val="18"/>
              </w:rPr>
            </w:pPr>
            <w:r>
              <w:rPr>
                <w:rFonts w:hint="eastAsia" w:ascii="宋体" w:hAnsi="宋体" w:eastAsia="宋体" w:cs="新宋体"/>
                <w:sz w:val="18"/>
                <w:szCs w:val="18"/>
                <w:highlight w:val="none"/>
                <w:lang w:val="en-US" w:eastAsia="zh-CN"/>
              </w:rPr>
              <w:t>范围的确认，资质的确认，管理体系变化情况、法律法规执行情况，重大质量、环境事故及职业健康安全投诉情况，上次审核不符合验证。</w:t>
            </w:r>
          </w:p>
        </w:tc>
        <w:tc>
          <w:tcPr>
            <w:tcW w:w="1226" w:type="dxa"/>
            <w:tcBorders>
              <w:right w:val="single" w:color="auto" w:sz="8" w:space="0"/>
            </w:tcBorders>
            <w:vAlign w:val="center"/>
          </w:tcPr>
          <w:p>
            <w:pPr>
              <w:spacing w:line="300" w:lineRule="exact"/>
              <w:rPr>
                <w:rFonts w:hint="eastAsia" w:ascii="宋体" w:hAnsi="宋体" w:eastAsia="宋体" w:cs="新宋体"/>
                <w:sz w:val="18"/>
                <w:szCs w:val="18"/>
                <w:lang w:eastAsia="zh-CN"/>
              </w:rPr>
            </w:pPr>
            <w:r>
              <w:rPr>
                <w:rFonts w:hint="eastAsia" w:ascii="宋体" w:hAnsi="宋体" w:cs="新宋体"/>
                <w:sz w:val="18"/>
                <w:szCs w:val="18"/>
                <w:lang w:eastAsia="zh-CN"/>
              </w:rPr>
              <w:t>宋明珠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639" w:type="dxa"/>
            <w:vAlign w:val="center"/>
          </w:tcPr>
          <w:p>
            <w:pPr>
              <w:snapToGrid w:val="0"/>
              <w:spacing w:line="320" w:lineRule="exact"/>
              <w:jc w:val="center"/>
              <w:rPr>
                <w:rFonts w:ascii="宋体" w:hAnsi="宋体"/>
                <w:b w:val="0"/>
                <w:bCs w:val="0"/>
                <w:sz w:val="21"/>
                <w:szCs w:val="21"/>
              </w:rPr>
            </w:pPr>
            <w:r>
              <w:rPr>
                <w:rFonts w:hint="eastAsia" w:ascii="宋体" w:hAnsi="宋体"/>
                <w:b w:val="0"/>
                <w:bCs w:val="0"/>
                <w:sz w:val="18"/>
                <w:szCs w:val="18"/>
                <w:lang w:val="en-US" w:eastAsia="zh-CN"/>
              </w:rPr>
              <w:t>10</w:t>
            </w:r>
            <w:r>
              <w:rPr>
                <w:rFonts w:hint="eastAsia" w:ascii="宋体" w:hAnsi="宋体"/>
                <w:b w:val="0"/>
                <w:bCs w:val="0"/>
                <w:sz w:val="18"/>
                <w:szCs w:val="18"/>
              </w:rPr>
              <w:t>:</w:t>
            </w:r>
            <w:r>
              <w:rPr>
                <w:rFonts w:hint="eastAsia" w:ascii="宋体" w:hAnsi="宋体"/>
                <w:b w:val="0"/>
                <w:bCs w:val="0"/>
                <w:sz w:val="18"/>
                <w:szCs w:val="18"/>
                <w:lang w:val="en-US" w:eastAsia="zh-CN"/>
              </w:rPr>
              <w:t>30</w:t>
            </w:r>
            <w:r>
              <w:rPr>
                <w:rFonts w:hint="eastAsia" w:ascii="宋体" w:hAnsi="宋体"/>
                <w:b w:val="0"/>
                <w:bCs w:val="0"/>
                <w:sz w:val="18"/>
                <w:szCs w:val="18"/>
              </w:rPr>
              <w:t>-1</w:t>
            </w:r>
            <w:r>
              <w:rPr>
                <w:rFonts w:hint="eastAsia" w:ascii="宋体" w:hAnsi="宋体"/>
                <w:b w:val="0"/>
                <w:bCs w:val="0"/>
                <w:sz w:val="18"/>
                <w:szCs w:val="18"/>
                <w:lang w:val="en-US" w:eastAsia="zh-CN"/>
              </w:rPr>
              <w:t>7</w:t>
            </w:r>
            <w:r>
              <w:rPr>
                <w:rFonts w:hint="eastAsia" w:ascii="宋体" w:hAnsi="宋体"/>
                <w:b w:val="0"/>
                <w:bCs w:val="0"/>
                <w:sz w:val="18"/>
                <w:szCs w:val="18"/>
              </w:rPr>
              <w:t>:00</w:t>
            </w:r>
          </w:p>
        </w:tc>
        <w:tc>
          <w:tcPr>
            <w:tcW w:w="992" w:type="dxa"/>
          </w:tcPr>
          <w:p>
            <w:pPr>
              <w:spacing w:line="300" w:lineRule="exact"/>
              <w:rPr>
                <w:rFonts w:hint="eastAsia" w:ascii="宋体" w:hAnsi="宋体" w:eastAsia="宋体"/>
                <w:b/>
                <w:bCs/>
                <w:sz w:val="21"/>
                <w:szCs w:val="21"/>
                <w:lang w:eastAsia="zh-CN"/>
              </w:rPr>
            </w:pPr>
            <w:r>
              <w:rPr>
                <w:rFonts w:hint="eastAsia" w:ascii="宋体" w:hAnsi="宋体" w:cs="新宋体"/>
                <w:sz w:val="18"/>
                <w:szCs w:val="18"/>
                <w:lang w:val="en-US" w:eastAsia="zh-CN"/>
              </w:rPr>
              <w:t>综合管理部（含财务）</w:t>
            </w:r>
          </w:p>
        </w:tc>
        <w:tc>
          <w:tcPr>
            <w:tcW w:w="5509" w:type="dxa"/>
          </w:tcPr>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QMS：</w:t>
            </w: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 xml:space="preserve">5.3组织的角色、职责和权限；6.2目标及其实现的策划；9.1.3分析和评价；10.2不合格和纠正措施 </w:t>
            </w:r>
          </w:p>
          <w:p>
            <w:pPr>
              <w:snapToGrid w:val="0"/>
              <w:spacing w:line="240" w:lineRule="exact"/>
              <w:rPr>
                <w:rFonts w:hint="default"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EMS：</w:t>
            </w: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5.3组织的角色、职责和权限；6.2目标及其达成的策划；6.1.2环境因素；6.1.3合规义务；8.1运行策划和控制；8.2应急准备和响应；9.1监视、测量、分析与评估；9.1.2符合性评估；10.2不符合和纠正措施；10.3持续改进/EMS运行控制相关财务支出证据。</w:t>
            </w: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OHSMS：</w:t>
            </w:r>
          </w:p>
          <w:p>
            <w:pPr>
              <w:snapToGrid w:val="0"/>
              <w:spacing w:line="240" w:lineRule="exact"/>
              <w:rPr>
                <w:rFonts w:ascii="宋体" w:hAnsi="宋体" w:cs="新宋体"/>
                <w:sz w:val="18"/>
                <w:szCs w:val="18"/>
              </w:rPr>
            </w:pPr>
            <w:r>
              <w:rPr>
                <w:rFonts w:hint="eastAsia" w:ascii="宋体" w:hAnsi="宋体" w:eastAsia="宋体" w:cs="新宋体"/>
                <w:sz w:val="18"/>
                <w:szCs w:val="18"/>
                <w:highlight w:val="none"/>
                <w:lang w:val="en-US" w:eastAsia="zh-CN"/>
              </w:rPr>
              <w:t>5.3组织的角色、职责和权限；6.1.2危险源辨识和职业安全风险评价；6.1.3法律法规要求和其他要求；6.2目标及其实现的策划；8.1运行策划和控制；8.2应急准备和响应；9.1监视、测量、分析和评价；9.1.2法律法规要求和其他要求的合规性评价；10.1事件、不符合和纠正措施；10.2持续改进/OHSMS运行控制财务支出证据。</w:t>
            </w:r>
          </w:p>
        </w:tc>
        <w:tc>
          <w:tcPr>
            <w:tcW w:w="1226" w:type="dxa"/>
            <w:tcBorders>
              <w:right w:val="single" w:color="auto" w:sz="8" w:space="0"/>
            </w:tcBorders>
            <w:vAlign w:val="center"/>
          </w:tcPr>
          <w:p>
            <w:pPr>
              <w:snapToGrid w:val="0"/>
              <w:spacing w:line="280" w:lineRule="exact"/>
              <w:jc w:val="left"/>
              <w:rPr>
                <w:rFonts w:hint="default" w:ascii="宋体" w:hAnsi="宋体" w:eastAsia="宋体"/>
                <w:b/>
                <w:bCs/>
                <w:sz w:val="18"/>
                <w:szCs w:val="18"/>
                <w:lang w:val="en-US" w:eastAsia="zh-CN"/>
              </w:rPr>
            </w:pPr>
            <w:r>
              <w:rPr>
                <w:rFonts w:hint="eastAsia" w:ascii="宋体" w:hAnsi="宋体"/>
                <w:b w:val="0"/>
                <w:bCs w:val="0"/>
                <w:sz w:val="18"/>
                <w:szCs w:val="18"/>
                <w:lang w:val="en-US" w:eastAsia="zh-CN"/>
              </w:rPr>
              <w:t>宋明珠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1011" w:type="dxa"/>
            <w:vMerge w:val="restart"/>
            <w:tcBorders>
              <w:left w:val="single" w:color="auto" w:sz="8" w:space="0"/>
            </w:tcBorders>
            <w:vAlign w:val="center"/>
          </w:tcPr>
          <w:p>
            <w:pPr>
              <w:snapToGrid w:val="0"/>
              <w:spacing w:line="280" w:lineRule="exact"/>
              <w:jc w:val="center"/>
              <w:rPr>
                <w:rFonts w:hint="eastAsia" w:ascii="宋体" w:hAnsi="宋体"/>
                <w:b/>
                <w:bCs/>
                <w:sz w:val="18"/>
                <w:szCs w:val="18"/>
                <w:lang w:val="en-US" w:eastAsia="zh-CN"/>
              </w:rPr>
            </w:pPr>
            <w:r>
              <w:rPr>
                <w:rFonts w:hint="eastAsia" w:ascii="宋体" w:hAnsi="宋体"/>
                <w:b/>
                <w:bCs/>
                <w:sz w:val="18"/>
                <w:szCs w:val="18"/>
                <w:lang w:val="en-US" w:eastAsia="zh-CN"/>
              </w:rPr>
              <w:t>6月1日（午休12:00-12:30）</w:t>
            </w:r>
          </w:p>
          <w:p>
            <w:pPr>
              <w:snapToGrid w:val="0"/>
              <w:spacing w:line="280" w:lineRule="exact"/>
              <w:jc w:val="center"/>
              <w:rPr>
                <w:rFonts w:ascii="宋体" w:hAnsi="宋体"/>
                <w:b/>
                <w:bCs/>
                <w:sz w:val="21"/>
                <w:szCs w:val="21"/>
              </w:rPr>
            </w:pPr>
          </w:p>
        </w:tc>
        <w:tc>
          <w:tcPr>
            <w:tcW w:w="1639" w:type="dxa"/>
            <w:vAlign w:val="center"/>
          </w:tcPr>
          <w:p>
            <w:pPr>
              <w:snapToGrid w:val="0"/>
              <w:spacing w:line="280" w:lineRule="exact"/>
              <w:jc w:val="center"/>
              <w:rPr>
                <w:rFonts w:hint="eastAsia" w:ascii="宋体" w:hAnsi="宋体"/>
                <w:b w:val="0"/>
                <w:bCs w:val="0"/>
                <w:sz w:val="18"/>
                <w:szCs w:val="18"/>
                <w:lang w:val="en-US" w:eastAsia="zh-CN"/>
              </w:rPr>
            </w:pPr>
            <w:r>
              <w:rPr>
                <w:rFonts w:hint="eastAsia" w:ascii="宋体" w:hAnsi="宋体"/>
                <w:b w:val="0"/>
                <w:bCs w:val="0"/>
                <w:sz w:val="18"/>
                <w:szCs w:val="18"/>
                <w:lang w:val="en-US" w:eastAsia="zh-CN"/>
              </w:rPr>
              <w:t>8:30-17:00</w:t>
            </w:r>
          </w:p>
          <w:p>
            <w:pPr>
              <w:snapToGrid w:val="0"/>
              <w:spacing w:line="280" w:lineRule="exact"/>
              <w:jc w:val="center"/>
              <w:rPr>
                <w:rFonts w:ascii="宋体" w:hAnsi="宋体"/>
                <w:b w:val="0"/>
                <w:bCs w:val="0"/>
                <w:sz w:val="21"/>
                <w:szCs w:val="21"/>
              </w:rPr>
            </w:pPr>
          </w:p>
        </w:tc>
        <w:tc>
          <w:tcPr>
            <w:tcW w:w="992" w:type="dxa"/>
            <w:vMerge w:val="restart"/>
          </w:tcPr>
          <w:p>
            <w:pPr>
              <w:spacing w:line="300" w:lineRule="exact"/>
              <w:rPr>
                <w:rFonts w:hint="default" w:ascii="宋体" w:hAnsi="宋体" w:cs="新宋体"/>
                <w:sz w:val="21"/>
                <w:szCs w:val="21"/>
                <w:lang w:val="en-US" w:eastAsia="zh-CN"/>
              </w:rPr>
            </w:pPr>
            <w:r>
              <w:rPr>
                <w:rFonts w:hint="eastAsia" w:ascii="宋体" w:hAnsi="宋体"/>
                <w:b w:val="0"/>
                <w:bCs w:val="0"/>
                <w:sz w:val="18"/>
                <w:szCs w:val="18"/>
                <w:lang w:val="en-US" w:eastAsia="zh-CN"/>
              </w:rPr>
              <w:t>市场部</w:t>
            </w:r>
          </w:p>
        </w:tc>
        <w:tc>
          <w:tcPr>
            <w:tcW w:w="5509" w:type="dxa"/>
          </w:tcPr>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QMS：</w:t>
            </w: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5.3组织的角色、职责和权限；6.2目标及其实现的策划；8.2产品和服务的要求；8.4外部提供供方的控制；9.1.2顾客满意</w:t>
            </w:r>
          </w:p>
          <w:p>
            <w:pPr>
              <w:snapToGrid w:val="0"/>
              <w:spacing w:line="240" w:lineRule="exact"/>
              <w:rPr>
                <w:rFonts w:hint="default"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EMS：</w:t>
            </w: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5.3组织的角色、职责和权限、6.2目标及其实现的策划；6.1.2环境因素；8.1运行策划和控制；8.2应急准备和响应</w:t>
            </w:r>
          </w:p>
        </w:tc>
        <w:tc>
          <w:tcPr>
            <w:tcW w:w="1226" w:type="dxa"/>
            <w:tcBorders>
              <w:right w:val="single" w:color="auto" w:sz="8" w:space="0"/>
            </w:tcBorders>
            <w:vAlign w:val="center"/>
          </w:tcPr>
          <w:p>
            <w:pPr>
              <w:snapToGrid w:val="0"/>
              <w:spacing w:line="280" w:lineRule="exact"/>
              <w:jc w:val="left"/>
              <w:rPr>
                <w:rFonts w:hint="eastAsia" w:ascii="宋体" w:hAnsi="宋体" w:eastAsia="宋体"/>
                <w:b/>
                <w:bCs/>
                <w:sz w:val="21"/>
                <w:szCs w:val="21"/>
                <w:lang w:eastAsia="zh-CN"/>
              </w:rPr>
            </w:pPr>
            <w:r>
              <w:rPr>
                <w:rFonts w:hint="eastAsia" w:ascii="宋体" w:hAnsi="宋体"/>
                <w:b w:val="0"/>
                <w:bCs w:val="0"/>
                <w:sz w:val="21"/>
                <w:szCs w:val="21"/>
                <w:lang w:eastAsia="zh-CN"/>
              </w:rPr>
              <w:t>陈伟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jc w:val="center"/>
        </w:trPr>
        <w:tc>
          <w:tcPr>
            <w:tcW w:w="1011" w:type="dxa"/>
            <w:vMerge w:val="continue"/>
            <w:tcBorders>
              <w:left w:val="single" w:color="auto" w:sz="8" w:space="0"/>
            </w:tcBorders>
            <w:vAlign w:val="center"/>
          </w:tcPr>
          <w:p>
            <w:pPr>
              <w:spacing w:line="300" w:lineRule="exact"/>
            </w:pPr>
          </w:p>
        </w:tc>
        <w:tc>
          <w:tcPr>
            <w:tcW w:w="1639" w:type="dxa"/>
          </w:tcPr>
          <w:p>
            <w:pPr>
              <w:snapToGrid w:val="0"/>
              <w:spacing w:line="280" w:lineRule="exact"/>
              <w:jc w:val="center"/>
              <w:rPr>
                <w:b w:val="0"/>
                <w:bCs w:val="0"/>
              </w:rPr>
            </w:pPr>
            <w:r>
              <w:rPr>
                <w:rFonts w:hint="eastAsia" w:ascii="宋体" w:hAnsi="宋体"/>
                <w:b w:val="0"/>
                <w:bCs w:val="0"/>
                <w:sz w:val="18"/>
                <w:szCs w:val="18"/>
                <w:lang w:val="en-US" w:eastAsia="zh-CN"/>
              </w:rPr>
              <w:t>8:30-12:00</w:t>
            </w:r>
          </w:p>
        </w:tc>
        <w:tc>
          <w:tcPr>
            <w:tcW w:w="992" w:type="dxa"/>
            <w:vMerge w:val="continue"/>
          </w:tcPr>
          <w:p>
            <w:pPr>
              <w:spacing w:line="300" w:lineRule="exact"/>
            </w:pPr>
          </w:p>
        </w:tc>
        <w:tc>
          <w:tcPr>
            <w:tcW w:w="5509" w:type="dxa"/>
          </w:tcPr>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OHSMS：</w:t>
            </w: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5.3组织的角色、职责和权限；6.2目标及其实现的策划；6.1.2危险源辨识和职业安全风险评价；8.1运行策划和控制；8.2应急准备和响应；</w:t>
            </w:r>
          </w:p>
        </w:tc>
        <w:tc>
          <w:tcPr>
            <w:tcW w:w="1226" w:type="dxa"/>
            <w:tcBorders>
              <w:right w:val="single" w:color="auto" w:sz="8" w:space="0"/>
            </w:tcBorders>
            <w:vAlign w:val="center"/>
          </w:tcPr>
          <w:p>
            <w:pPr>
              <w:spacing w:line="300" w:lineRule="exact"/>
              <w:rPr>
                <w:rFonts w:hint="eastAsia" w:ascii="宋体" w:hAnsi="宋体" w:eastAsia="宋体" w:cs="新宋体"/>
                <w:sz w:val="18"/>
                <w:szCs w:val="18"/>
                <w:lang w:eastAsia="zh-CN"/>
              </w:rPr>
            </w:pPr>
            <w:r>
              <w:rPr>
                <w:rFonts w:hint="eastAsia" w:ascii="宋体" w:hAnsi="宋体" w:cs="新宋体"/>
                <w:sz w:val="18"/>
                <w:szCs w:val="18"/>
                <w:lang w:eastAsia="zh-CN"/>
              </w:rPr>
              <w:t>宋明珠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0" w:hRule="atLeast"/>
          <w:jc w:val="center"/>
        </w:trPr>
        <w:tc>
          <w:tcPr>
            <w:tcW w:w="1011" w:type="dxa"/>
            <w:vMerge w:val="continue"/>
            <w:tcBorders>
              <w:left w:val="single" w:color="auto" w:sz="8" w:space="0"/>
            </w:tcBorders>
            <w:vAlign w:val="center"/>
          </w:tcPr>
          <w:p>
            <w:pPr>
              <w:spacing w:line="300" w:lineRule="exact"/>
            </w:pPr>
          </w:p>
        </w:tc>
        <w:tc>
          <w:tcPr>
            <w:tcW w:w="1639" w:type="dxa"/>
            <w:vAlign w:val="center"/>
          </w:tcPr>
          <w:p>
            <w:pPr>
              <w:snapToGrid w:val="0"/>
              <w:spacing w:line="280" w:lineRule="exact"/>
              <w:jc w:val="center"/>
              <w:rPr>
                <w:rFonts w:hint="default" w:ascii="宋体" w:hAnsi="宋体"/>
                <w:b w:val="0"/>
                <w:bCs w:val="0"/>
                <w:sz w:val="18"/>
                <w:szCs w:val="18"/>
                <w:lang w:val="en-US" w:eastAsia="zh-CN"/>
              </w:rPr>
            </w:pPr>
            <w:r>
              <w:rPr>
                <w:rFonts w:hint="eastAsia" w:ascii="宋体" w:hAnsi="宋体"/>
                <w:b w:val="0"/>
                <w:bCs w:val="0"/>
                <w:sz w:val="18"/>
                <w:szCs w:val="18"/>
                <w:lang w:val="en-US" w:eastAsia="zh-CN"/>
              </w:rPr>
              <w:t>1、12:30-13:00</w:t>
            </w:r>
          </w:p>
          <w:p>
            <w:pPr>
              <w:snapToGrid w:val="0"/>
              <w:spacing w:line="280" w:lineRule="exact"/>
              <w:jc w:val="center"/>
              <w:rPr>
                <w:rFonts w:hint="eastAsia" w:ascii="宋体" w:hAnsi="宋体"/>
                <w:b w:val="0"/>
                <w:bCs w:val="0"/>
                <w:sz w:val="18"/>
                <w:szCs w:val="18"/>
                <w:lang w:val="en-US" w:eastAsia="zh-CN"/>
              </w:rPr>
            </w:pPr>
            <w:r>
              <w:rPr>
                <w:rFonts w:hint="eastAsia" w:ascii="宋体" w:hAnsi="宋体"/>
                <w:b w:val="0"/>
                <w:bCs w:val="0"/>
                <w:sz w:val="18"/>
                <w:szCs w:val="18"/>
                <w:lang w:val="en-US" w:eastAsia="zh-CN"/>
              </w:rPr>
              <w:t>前往项目现场；</w:t>
            </w:r>
          </w:p>
          <w:p>
            <w:pPr>
              <w:snapToGrid w:val="0"/>
              <w:spacing w:line="280" w:lineRule="exact"/>
              <w:jc w:val="center"/>
              <w:rPr>
                <w:rFonts w:hint="eastAsia" w:ascii="宋体" w:hAnsi="宋体"/>
                <w:b w:val="0"/>
                <w:bCs w:val="0"/>
                <w:sz w:val="18"/>
                <w:szCs w:val="18"/>
                <w:lang w:val="en-US" w:eastAsia="zh-CN"/>
              </w:rPr>
            </w:pPr>
            <w:r>
              <w:rPr>
                <w:rFonts w:hint="eastAsia" w:ascii="宋体" w:hAnsi="宋体"/>
                <w:b w:val="0"/>
                <w:bCs w:val="0"/>
                <w:sz w:val="18"/>
                <w:szCs w:val="18"/>
                <w:lang w:val="en-US" w:eastAsia="zh-CN"/>
              </w:rPr>
              <w:t>2、13:05-15:00</w:t>
            </w:r>
          </w:p>
          <w:p>
            <w:pPr>
              <w:snapToGrid w:val="0"/>
              <w:spacing w:line="280" w:lineRule="exact"/>
              <w:jc w:val="center"/>
              <w:rPr>
                <w:rFonts w:hint="eastAsia" w:ascii="宋体" w:hAnsi="宋体"/>
                <w:b w:val="0"/>
                <w:bCs w:val="0"/>
                <w:sz w:val="18"/>
                <w:szCs w:val="18"/>
                <w:lang w:val="en-US" w:eastAsia="zh-CN"/>
              </w:rPr>
            </w:pPr>
            <w:r>
              <w:rPr>
                <w:rFonts w:hint="eastAsia" w:ascii="宋体" w:hAnsi="宋体"/>
                <w:b w:val="0"/>
                <w:bCs w:val="0"/>
                <w:sz w:val="18"/>
                <w:szCs w:val="18"/>
                <w:lang w:val="en-US" w:eastAsia="zh-CN"/>
              </w:rPr>
              <w:t>项目现场审核；</w:t>
            </w:r>
          </w:p>
          <w:p>
            <w:pPr>
              <w:snapToGrid w:val="0"/>
              <w:spacing w:line="280" w:lineRule="exact"/>
              <w:jc w:val="center"/>
              <w:rPr>
                <w:rFonts w:hint="eastAsia" w:ascii="宋体" w:hAnsi="宋体"/>
                <w:b w:val="0"/>
                <w:bCs w:val="0"/>
                <w:sz w:val="18"/>
                <w:szCs w:val="18"/>
                <w:lang w:val="en-US" w:eastAsia="zh-CN"/>
              </w:rPr>
            </w:pPr>
            <w:r>
              <w:rPr>
                <w:rFonts w:hint="eastAsia" w:ascii="宋体" w:hAnsi="宋体"/>
                <w:b w:val="0"/>
                <w:bCs w:val="0"/>
                <w:sz w:val="18"/>
                <w:szCs w:val="18"/>
                <w:lang w:val="en-US" w:eastAsia="zh-CN"/>
              </w:rPr>
              <w:t>3、15:00-15:30</w:t>
            </w:r>
          </w:p>
          <w:p>
            <w:pPr>
              <w:snapToGrid w:val="0"/>
              <w:spacing w:line="280" w:lineRule="exact"/>
              <w:jc w:val="center"/>
              <w:rPr>
                <w:rFonts w:hint="eastAsia" w:ascii="宋体" w:hAnsi="宋体"/>
                <w:b w:val="0"/>
                <w:bCs w:val="0"/>
                <w:sz w:val="18"/>
                <w:szCs w:val="18"/>
                <w:lang w:val="en-US" w:eastAsia="zh-CN"/>
              </w:rPr>
            </w:pPr>
            <w:r>
              <w:rPr>
                <w:rFonts w:hint="eastAsia" w:ascii="宋体" w:hAnsi="宋体"/>
                <w:b w:val="0"/>
                <w:bCs w:val="0"/>
                <w:sz w:val="18"/>
                <w:szCs w:val="18"/>
                <w:lang w:val="en-US" w:eastAsia="zh-CN"/>
              </w:rPr>
              <w:t>返回公司</w:t>
            </w:r>
          </w:p>
          <w:p>
            <w:pPr>
              <w:snapToGrid w:val="0"/>
              <w:spacing w:line="280" w:lineRule="exact"/>
              <w:jc w:val="center"/>
              <w:rPr>
                <w:rFonts w:hint="eastAsia" w:ascii="宋体" w:hAnsi="宋体"/>
                <w:b w:val="0"/>
                <w:bCs w:val="0"/>
                <w:sz w:val="18"/>
                <w:szCs w:val="18"/>
                <w:lang w:val="en-US" w:eastAsia="zh-CN"/>
              </w:rPr>
            </w:pPr>
            <w:r>
              <w:rPr>
                <w:rFonts w:hint="eastAsia" w:ascii="宋体" w:hAnsi="宋体"/>
                <w:b w:val="0"/>
                <w:bCs w:val="0"/>
                <w:sz w:val="18"/>
                <w:szCs w:val="18"/>
                <w:lang w:val="en-US" w:eastAsia="zh-CN"/>
              </w:rPr>
              <w:t>4、15:30-18:30</w:t>
            </w:r>
          </w:p>
          <w:p>
            <w:pPr>
              <w:snapToGrid w:val="0"/>
              <w:spacing w:line="280" w:lineRule="exact"/>
              <w:jc w:val="center"/>
              <w:rPr>
                <w:rFonts w:hint="default"/>
                <w:lang w:val="en-US" w:eastAsia="zh-CN"/>
              </w:rPr>
            </w:pPr>
            <w:r>
              <w:rPr>
                <w:rFonts w:hint="eastAsia" w:ascii="宋体" w:hAnsi="宋体"/>
                <w:b w:val="0"/>
                <w:bCs w:val="0"/>
                <w:sz w:val="18"/>
                <w:szCs w:val="18"/>
                <w:lang w:val="en-US" w:eastAsia="zh-CN"/>
              </w:rPr>
              <w:t>公司研发技术部审核</w:t>
            </w:r>
          </w:p>
        </w:tc>
        <w:tc>
          <w:tcPr>
            <w:tcW w:w="992" w:type="dxa"/>
            <w:vAlign w:val="top"/>
          </w:tcPr>
          <w:p>
            <w:pPr>
              <w:spacing w:line="300" w:lineRule="exact"/>
              <w:rPr>
                <w:rFonts w:ascii="宋体" w:hAnsi="宋体" w:eastAsia="宋体" w:cs="新宋体"/>
                <w:kern w:val="2"/>
                <w:sz w:val="21"/>
                <w:szCs w:val="21"/>
                <w:lang w:val="en-US" w:eastAsia="zh-CN" w:bidi="ar-SA"/>
              </w:rPr>
            </w:pPr>
            <w:r>
              <w:rPr>
                <w:rFonts w:hint="eastAsia" w:ascii="宋体" w:hAnsi="宋体"/>
                <w:b w:val="0"/>
                <w:bCs w:val="0"/>
                <w:sz w:val="18"/>
                <w:szCs w:val="18"/>
                <w:lang w:val="en-US" w:eastAsia="zh-CN"/>
              </w:rPr>
              <w:t>研发技术部（含临时场所）</w:t>
            </w:r>
          </w:p>
        </w:tc>
        <w:tc>
          <w:tcPr>
            <w:tcW w:w="5509" w:type="dxa"/>
            <w:vAlign w:val="top"/>
          </w:tcPr>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QMS：</w:t>
            </w: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5.3组织的角色、职责和权限；6.2目标及其实现的策划；7.1.3基础设施；7.1.5监视和测量设备；8.1运行策划和控制；8.3设计开发控制；8.5.1生产和服务提供的控制</w:t>
            </w:r>
            <w:r>
              <w:rPr>
                <w:rFonts w:hint="eastAsia" w:ascii="宋体" w:hAnsi="宋体" w:cs="新宋体"/>
                <w:sz w:val="18"/>
                <w:szCs w:val="18"/>
                <w:highlight w:val="none"/>
                <w:lang w:val="en-US" w:eastAsia="zh-CN"/>
              </w:rPr>
              <w:t>（上次不符合验证）</w:t>
            </w:r>
            <w:r>
              <w:rPr>
                <w:rFonts w:hint="eastAsia" w:ascii="宋体" w:hAnsi="宋体" w:eastAsia="宋体" w:cs="新宋体"/>
                <w:sz w:val="18"/>
                <w:szCs w:val="18"/>
                <w:highlight w:val="none"/>
                <w:lang w:val="en-US" w:eastAsia="zh-CN"/>
              </w:rPr>
              <w:t>；8.5.2标识和可追溯性；8.5.3顾客或外部供方的财产；8.5.4防护；8.5.5交付后的活动；8.5.6更改控制；8.6产品和服务放行；8.7不合格输出的控制；</w:t>
            </w: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EMS：</w:t>
            </w: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5.3组织的角色、职责和权限；6.2目标及其实现的策划；6.1.2环境因素；8.1运行策划和控制；8.2应急准备和响应</w:t>
            </w: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OHSMS：</w:t>
            </w:r>
          </w:p>
          <w:p>
            <w:pPr>
              <w:snapToGrid w:val="0"/>
              <w:spacing w:line="240" w:lineRule="exact"/>
              <w:rPr>
                <w:rFonts w:hint="eastAsia" w:ascii="宋体" w:hAnsi="宋体" w:eastAsia="宋体" w:cs="新宋体"/>
                <w:kern w:val="2"/>
                <w:sz w:val="18"/>
                <w:szCs w:val="18"/>
                <w:lang w:val="en-US" w:eastAsia="zh-CN" w:bidi="ar-SA"/>
              </w:rPr>
            </w:pPr>
            <w:r>
              <w:rPr>
                <w:rFonts w:hint="eastAsia" w:ascii="宋体" w:hAnsi="宋体" w:eastAsia="宋体" w:cs="新宋体"/>
                <w:sz w:val="18"/>
                <w:szCs w:val="18"/>
                <w:highlight w:val="none"/>
                <w:lang w:val="en-US" w:eastAsia="zh-CN"/>
              </w:rPr>
              <w:t>5.3组织的角色、职责和权限；6.2目标及其实现的策划；6.1.2危险源辨识和职业安全风险评价；8.1运行策划和控制；8.2应急准备和响应</w:t>
            </w:r>
          </w:p>
        </w:tc>
        <w:tc>
          <w:tcPr>
            <w:tcW w:w="1226" w:type="dxa"/>
            <w:tcBorders>
              <w:right w:val="single" w:color="auto" w:sz="8" w:space="0"/>
            </w:tcBorders>
            <w:vAlign w:val="center"/>
          </w:tcPr>
          <w:p>
            <w:pPr>
              <w:snapToGrid w:val="0"/>
              <w:spacing w:line="280" w:lineRule="exact"/>
              <w:jc w:val="left"/>
              <w:rPr>
                <w:rFonts w:hint="eastAsia" w:ascii="宋体" w:hAnsi="宋体" w:eastAsia="宋体" w:cs="Times New Roman"/>
                <w:b/>
                <w:bCs/>
                <w:kern w:val="2"/>
                <w:sz w:val="18"/>
                <w:szCs w:val="18"/>
                <w:lang w:val="en-US" w:eastAsia="zh-CN" w:bidi="ar-SA"/>
              </w:rPr>
            </w:pPr>
            <w:r>
              <w:rPr>
                <w:rFonts w:hint="eastAsia" w:ascii="宋体" w:hAnsi="宋体"/>
                <w:b w:val="0"/>
                <w:bCs w:val="0"/>
                <w:sz w:val="18"/>
                <w:szCs w:val="18"/>
                <w:lang w:eastAsia="zh-CN"/>
              </w:rPr>
              <w:t>宋明珠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1011" w:type="dxa"/>
            <w:vMerge w:val="restart"/>
            <w:tcBorders>
              <w:left w:val="single" w:color="auto" w:sz="8" w:space="0"/>
            </w:tcBorders>
            <w:vAlign w:val="center"/>
          </w:tcPr>
          <w:p>
            <w:pPr>
              <w:snapToGrid w:val="0"/>
              <w:spacing w:line="280" w:lineRule="exact"/>
              <w:jc w:val="center"/>
              <w:rPr>
                <w:rFonts w:hint="eastAsia" w:ascii="宋体" w:hAnsi="宋体"/>
                <w:b/>
                <w:bCs/>
                <w:sz w:val="18"/>
                <w:szCs w:val="18"/>
                <w:lang w:val="en-US" w:eastAsia="zh-CN"/>
              </w:rPr>
            </w:pPr>
            <w:r>
              <w:rPr>
                <w:rFonts w:hint="eastAsia" w:ascii="宋体" w:hAnsi="宋体"/>
                <w:b/>
                <w:bCs/>
                <w:sz w:val="18"/>
                <w:szCs w:val="18"/>
                <w:lang w:val="en-US" w:eastAsia="zh-CN"/>
              </w:rPr>
              <w:t>6月2日</w:t>
            </w:r>
          </w:p>
          <w:p>
            <w:pPr>
              <w:spacing w:line="300" w:lineRule="exact"/>
            </w:pPr>
          </w:p>
        </w:tc>
        <w:tc>
          <w:tcPr>
            <w:tcW w:w="1639" w:type="dxa"/>
            <w:vMerge w:val="restart"/>
            <w:vAlign w:val="center"/>
          </w:tcPr>
          <w:p>
            <w:pPr>
              <w:snapToGrid w:val="0"/>
              <w:spacing w:line="280" w:lineRule="exact"/>
              <w:jc w:val="center"/>
              <w:rPr>
                <w:rFonts w:hint="eastAsia" w:ascii="宋体" w:hAnsi="宋体"/>
                <w:b w:val="0"/>
                <w:bCs w:val="0"/>
                <w:sz w:val="18"/>
                <w:szCs w:val="18"/>
                <w:lang w:val="en-US" w:eastAsia="zh-CN"/>
              </w:rPr>
            </w:pPr>
            <w:r>
              <w:rPr>
                <w:rFonts w:hint="eastAsia" w:ascii="宋体" w:hAnsi="宋体"/>
                <w:b w:val="0"/>
                <w:bCs w:val="0"/>
                <w:sz w:val="18"/>
                <w:szCs w:val="18"/>
                <w:lang w:val="en-US" w:eastAsia="zh-CN"/>
              </w:rPr>
              <w:t>8:30-12:00</w:t>
            </w:r>
          </w:p>
        </w:tc>
        <w:tc>
          <w:tcPr>
            <w:tcW w:w="992" w:type="dxa"/>
            <w:vAlign w:val="top"/>
          </w:tcPr>
          <w:p>
            <w:pPr>
              <w:spacing w:line="300" w:lineRule="exact"/>
              <w:rPr>
                <w:rFonts w:hint="eastAsia" w:ascii="宋体" w:hAnsi="宋体"/>
                <w:b w:val="0"/>
                <w:bCs w:val="0"/>
                <w:sz w:val="18"/>
                <w:szCs w:val="18"/>
                <w:lang w:val="en-US" w:eastAsia="zh-CN"/>
              </w:rPr>
            </w:pPr>
            <w:r>
              <w:rPr>
                <w:rFonts w:hint="eastAsia" w:ascii="宋体" w:hAnsi="宋体"/>
                <w:b w:val="0"/>
                <w:bCs w:val="0"/>
                <w:sz w:val="18"/>
                <w:szCs w:val="18"/>
                <w:lang w:val="en-US" w:eastAsia="zh-CN"/>
              </w:rPr>
              <w:t>研发技术部</w:t>
            </w:r>
          </w:p>
        </w:tc>
        <w:tc>
          <w:tcPr>
            <w:tcW w:w="5509" w:type="dxa"/>
            <w:vAlign w:val="top"/>
          </w:tcPr>
          <w:p>
            <w:pPr>
              <w:spacing w:line="300" w:lineRule="exact"/>
              <w:rPr>
                <w:rFonts w:hint="eastAsia" w:ascii="宋体" w:hAnsi="宋体" w:eastAsia="宋体" w:cs="新宋体"/>
                <w:sz w:val="18"/>
                <w:szCs w:val="18"/>
                <w:lang w:eastAsia="zh-CN"/>
              </w:rPr>
            </w:pPr>
            <w:r>
              <w:rPr>
                <w:rFonts w:hint="eastAsia" w:ascii="宋体" w:hAnsi="宋体" w:cs="新宋体"/>
                <w:sz w:val="18"/>
                <w:szCs w:val="18"/>
                <w:lang w:eastAsia="zh-CN"/>
              </w:rPr>
              <w:t>持续前一天的审核</w:t>
            </w:r>
          </w:p>
        </w:tc>
        <w:tc>
          <w:tcPr>
            <w:tcW w:w="1226" w:type="dxa"/>
            <w:tcBorders>
              <w:right w:val="single" w:color="auto" w:sz="8" w:space="0"/>
            </w:tcBorders>
            <w:vAlign w:val="center"/>
          </w:tcPr>
          <w:p>
            <w:pPr>
              <w:snapToGrid w:val="0"/>
              <w:spacing w:line="280" w:lineRule="exact"/>
              <w:jc w:val="left"/>
              <w:rPr>
                <w:rFonts w:hint="eastAsia" w:ascii="宋体" w:hAnsi="宋体"/>
                <w:b w:val="0"/>
                <w:bCs w:val="0"/>
                <w:sz w:val="18"/>
                <w:szCs w:val="18"/>
                <w:lang w:eastAsia="zh-CN"/>
              </w:rPr>
            </w:pPr>
            <w:r>
              <w:rPr>
                <w:rFonts w:hint="eastAsia" w:ascii="宋体" w:hAnsi="宋体"/>
                <w:b w:val="0"/>
                <w:bCs w:val="0"/>
                <w:sz w:val="18"/>
                <w:szCs w:val="18"/>
                <w:lang w:eastAsia="zh-CN"/>
              </w:rPr>
              <w:t>宋明珠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1011" w:type="dxa"/>
            <w:vMerge w:val="continue"/>
            <w:tcBorders>
              <w:left w:val="single" w:color="auto" w:sz="8" w:space="0"/>
            </w:tcBorders>
            <w:vAlign w:val="center"/>
          </w:tcPr>
          <w:p>
            <w:pPr>
              <w:spacing w:line="300" w:lineRule="exact"/>
            </w:pPr>
          </w:p>
        </w:tc>
        <w:tc>
          <w:tcPr>
            <w:tcW w:w="1639" w:type="dxa"/>
            <w:vMerge w:val="continue"/>
            <w:vAlign w:val="center"/>
          </w:tcPr>
          <w:p>
            <w:pPr>
              <w:snapToGrid w:val="0"/>
              <w:spacing w:line="280" w:lineRule="exact"/>
              <w:jc w:val="center"/>
              <w:rPr>
                <w:rFonts w:hint="eastAsia" w:ascii="宋体" w:hAnsi="宋体"/>
                <w:b w:val="0"/>
                <w:bCs w:val="0"/>
                <w:sz w:val="18"/>
                <w:szCs w:val="18"/>
                <w:lang w:val="en-US" w:eastAsia="zh-CN"/>
              </w:rPr>
            </w:pPr>
          </w:p>
        </w:tc>
        <w:tc>
          <w:tcPr>
            <w:tcW w:w="992" w:type="dxa"/>
            <w:vAlign w:val="top"/>
          </w:tcPr>
          <w:p>
            <w:pPr>
              <w:spacing w:line="300" w:lineRule="exact"/>
              <w:rPr>
                <w:rFonts w:hint="eastAsia" w:ascii="宋体" w:hAnsi="宋体"/>
                <w:b w:val="0"/>
                <w:bCs w:val="0"/>
                <w:sz w:val="18"/>
                <w:szCs w:val="18"/>
                <w:lang w:val="en-US" w:eastAsia="zh-CN"/>
              </w:rPr>
            </w:pPr>
            <w:r>
              <w:rPr>
                <w:rFonts w:hint="eastAsia" w:ascii="宋体" w:hAnsi="宋体"/>
                <w:b w:val="0"/>
                <w:bCs w:val="0"/>
                <w:sz w:val="18"/>
                <w:szCs w:val="18"/>
                <w:lang w:val="en-US" w:eastAsia="zh-CN"/>
              </w:rPr>
              <w:t>市场部</w:t>
            </w:r>
          </w:p>
        </w:tc>
        <w:tc>
          <w:tcPr>
            <w:tcW w:w="5509" w:type="dxa"/>
            <w:vAlign w:val="top"/>
          </w:tcPr>
          <w:p>
            <w:pPr>
              <w:spacing w:line="300" w:lineRule="exact"/>
              <w:rPr>
                <w:rFonts w:hint="eastAsia" w:ascii="宋体" w:hAnsi="宋体" w:cs="新宋体"/>
                <w:sz w:val="18"/>
                <w:szCs w:val="18"/>
              </w:rPr>
            </w:pPr>
            <w:r>
              <w:rPr>
                <w:rFonts w:hint="eastAsia" w:ascii="宋体" w:hAnsi="宋体" w:cs="新宋体"/>
                <w:sz w:val="18"/>
                <w:szCs w:val="18"/>
                <w:lang w:eastAsia="zh-CN"/>
              </w:rPr>
              <w:t>持续前一天的审核</w:t>
            </w:r>
          </w:p>
        </w:tc>
        <w:tc>
          <w:tcPr>
            <w:tcW w:w="1226" w:type="dxa"/>
            <w:tcBorders>
              <w:right w:val="single" w:color="auto" w:sz="8" w:space="0"/>
            </w:tcBorders>
            <w:vAlign w:val="center"/>
          </w:tcPr>
          <w:p>
            <w:pPr>
              <w:snapToGrid w:val="0"/>
              <w:spacing w:line="280" w:lineRule="exact"/>
              <w:jc w:val="left"/>
              <w:rPr>
                <w:rFonts w:hint="eastAsia" w:ascii="宋体" w:hAnsi="宋体"/>
                <w:b w:val="0"/>
                <w:bCs w:val="0"/>
                <w:sz w:val="18"/>
                <w:szCs w:val="18"/>
                <w:lang w:eastAsia="zh-CN"/>
              </w:rPr>
            </w:pPr>
            <w:r>
              <w:rPr>
                <w:rFonts w:hint="eastAsia" w:ascii="宋体" w:hAnsi="宋体"/>
                <w:b w:val="0"/>
                <w:bCs w:val="0"/>
                <w:sz w:val="18"/>
                <w:szCs w:val="18"/>
                <w:lang w:eastAsia="zh-CN"/>
              </w:rPr>
              <w:t>陈伟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011" w:type="dxa"/>
            <w:vMerge w:val="continue"/>
            <w:tcBorders>
              <w:left w:val="single" w:color="auto" w:sz="8" w:space="0"/>
            </w:tcBorders>
            <w:vAlign w:val="center"/>
          </w:tcPr>
          <w:p>
            <w:pPr>
              <w:snapToGrid w:val="0"/>
              <w:spacing w:line="280" w:lineRule="exact"/>
              <w:jc w:val="center"/>
              <w:rPr>
                <w:rFonts w:ascii="宋体" w:hAnsi="宋体"/>
                <w:b/>
                <w:bCs/>
                <w:sz w:val="21"/>
                <w:szCs w:val="21"/>
              </w:rPr>
            </w:pPr>
          </w:p>
        </w:tc>
        <w:tc>
          <w:tcPr>
            <w:tcW w:w="1639" w:type="dxa"/>
            <w:vAlign w:val="center"/>
          </w:tcPr>
          <w:p>
            <w:pPr>
              <w:snapToGrid w:val="0"/>
              <w:spacing w:line="280" w:lineRule="exact"/>
              <w:jc w:val="center"/>
              <w:rPr>
                <w:rFonts w:hint="eastAsia" w:ascii="宋体" w:hAnsi="宋体"/>
                <w:b/>
                <w:bCs/>
                <w:sz w:val="18"/>
                <w:szCs w:val="18"/>
                <w:lang w:val="en-US" w:eastAsia="zh-CN"/>
              </w:rPr>
            </w:pPr>
            <w:r>
              <w:rPr>
                <w:rFonts w:hint="eastAsia" w:ascii="宋体" w:hAnsi="宋体"/>
                <w:b w:val="0"/>
                <w:bCs w:val="0"/>
                <w:sz w:val="18"/>
                <w:szCs w:val="18"/>
                <w:lang w:val="en-US" w:eastAsia="zh-CN"/>
              </w:rPr>
              <w:t>12:00-12:30</w:t>
            </w:r>
          </w:p>
        </w:tc>
        <w:tc>
          <w:tcPr>
            <w:tcW w:w="6501" w:type="dxa"/>
            <w:gridSpan w:val="2"/>
            <w:vAlign w:val="center"/>
          </w:tcPr>
          <w:p>
            <w:pPr>
              <w:spacing w:line="300" w:lineRule="exact"/>
              <w:rPr>
                <w:rFonts w:hint="eastAsia" w:ascii="宋体" w:hAnsi="宋体" w:eastAsia="宋体" w:cs="新宋体"/>
                <w:sz w:val="18"/>
                <w:szCs w:val="18"/>
                <w:lang w:eastAsia="zh-CN"/>
              </w:rPr>
            </w:pPr>
            <w:r>
              <w:rPr>
                <w:rFonts w:hint="eastAsia" w:ascii="宋体" w:hAnsi="宋体" w:cs="新宋体"/>
                <w:sz w:val="18"/>
                <w:szCs w:val="18"/>
              </w:rPr>
              <w:t>审核组内部沟通,并与受审核方沟通</w:t>
            </w:r>
            <w:r>
              <w:rPr>
                <w:rFonts w:hint="eastAsia" w:ascii="宋体" w:hAnsi="宋体" w:cs="新宋体"/>
                <w:sz w:val="18"/>
                <w:szCs w:val="18"/>
                <w:lang w:eastAsia="zh-CN"/>
              </w:rPr>
              <w:t>，</w:t>
            </w:r>
            <w:r>
              <w:rPr>
                <w:rFonts w:hint="eastAsia" w:ascii="宋体" w:hAnsi="宋体" w:cs="新宋体"/>
                <w:sz w:val="18"/>
                <w:szCs w:val="18"/>
              </w:rPr>
              <w:t>末次会议</w:t>
            </w:r>
          </w:p>
        </w:tc>
        <w:tc>
          <w:tcPr>
            <w:tcW w:w="1226" w:type="dxa"/>
            <w:tcBorders>
              <w:right w:val="single" w:color="auto" w:sz="8" w:space="0"/>
            </w:tcBorders>
            <w:vAlign w:val="center"/>
          </w:tcPr>
          <w:p>
            <w:pPr>
              <w:snapToGrid w:val="0"/>
              <w:spacing w:line="280" w:lineRule="exact"/>
              <w:jc w:val="left"/>
              <w:rPr>
                <w:rFonts w:hint="eastAsia" w:ascii="宋体" w:hAnsi="宋体" w:eastAsia="宋体"/>
                <w:b/>
                <w:bCs/>
                <w:sz w:val="21"/>
                <w:szCs w:val="21"/>
                <w:lang w:eastAsia="zh-CN"/>
              </w:rPr>
            </w:pPr>
            <w:r>
              <w:rPr>
                <w:rFonts w:hint="eastAsia" w:ascii="宋体" w:hAnsi="宋体"/>
                <w:b w:val="0"/>
                <w:bCs w:val="0"/>
                <w:sz w:val="21"/>
                <w:szCs w:val="21"/>
                <w:lang w:eastAsia="zh-CN"/>
              </w:rPr>
              <w:t>审核组</w:t>
            </w:r>
          </w:p>
        </w:tc>
      </w:tr>
    </w:tbl>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-71120</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FmNDE1OTA0NjMzMTc3MjRkMDFmMDVlMjFhNzg3YjQifQ=="/>
  </w:docVars>
  <w:rsids>
    <w:rsidRoot w:val="00000000"/>
    <w:rsid w:val="018F287C"/>
    <w:rsid w:val="01A73C20"/>
    <w:rsid w:val="02D06B1E"/>
    <w:rsid w:val="052E47BF"/>
    <w:rsid w:val="05E851C8"/>
    <w:rsid w:val="06606ACF"/>
    <w:rsid w:val="071C229E"/>
    <w:rsid w:val="076F3599"/>
    <w:rsid w:val="09A11A04"/>
    <w:rsid w:val="0B3C619B"/>
    <w:rsid w:val="0C3C3DB8"/>
    <w:rsid w:val="0D796FEF"/>
    <w:rsid w:val="0F6B0AEA"/>
    <w:rsid w:val="10E34827"/>
    <w:rsid w:val="123716FB"/>
    <w:rsid w:val="14A14FAE"/>
    <w:rsid w:val="1763479D"/>
    <w:rsid w:val="180B62BF"/>
    <w:rsid w:val="19AA0461"/>
    <w:rsid w:val="19DD0836"/>
    <w:rsid w:val="1A187AC0"/>
    <w:rsid w:val="1AC83294"/>
    <w:rsid w:val="1CC32C25"/>
    <w:rsid w:val="1D052E8B"/>
    <w:rsid w:val="1E135668"/>
    <w:rsid w:val="1E3447B5"/>
    <w:rsid w:val="1FDD3471"/>
    <w:rsid w:val="20D766AE"/>
    <w:rsid w:val="20E260F7"/>
    <w:rsid w:val="223A00AF"/>
    <w:rsid w:val="22525B39"/>
    <w:rsid w:val="23F40D9D"/>
    <w:rsid w:val="241237D2"/>
    <w:rsid w:val="24AF694E"/>
    <w:rsid w:val="25714529"/>
    <w:rsid w:val="25733194"/>
    <w:rsid w:val="25D10748"/>
    <w:rsid w:val="28186EDD"/>
    <w:rsid w:val="299C349F"/>
    <w:rsid w:val="2A20276B"/>
    <w:rsid w:val="2A2C67C1"/>
    <w:rsid w:val="2C79288F"/>
    <w:rsid w:val="2CA90539"/>
    <w:rsid w:val="2E823302"/>
    <w:rsid w:val="2F511653"/>
    <w:rsid w:val="2F875074"/>
    <w:rsid w:val="2FE42CF1"/>
    <w:rsid w:val="305E620E"/>
    <w:rsid w:val="31FD4DCC"/>
    <w:rsid w:val="3221486C"/>
    <w:rsid w:val="329448A6"/>
    <w:rsid w:val="33677B8F"/>
    <w:rsid w:val="348F02DB"/>
    <w:rsid w:val="36C102B2"/>
    <w:rsid w:val="375165B0"/>
    <w:rsid w:val="38402264"/>
    <w:rsid w:val="38DD3F57"/>
    <w:rsid w:val="39D20F0C"/>
    <w:rsid w:val="3A9C5673"/>
    <w:rsid w:val="3ABA038B"/>
    <w:rsid w:val="3B57750E"/>
    <w:rsid w:val="3D9D3D77"/>
    <w:rsid w:val="3E784FAE"/>
    <w:rsid w:val="3EF721D5"/>
    <w:rsid w:val="40CD2C3F"/>
    <w:rsid w:val="42E475F9"/>
    <w:rsid w:val="43BF6DCD"/>
    <w:rsid w:val="43F955DA"/>
    <w:rsid w:val="440B5E1C"/>
    <w:rsid w:val="44695232"/>
    <w:rsid w:val="44EE29D7"/>
    <w:rsid w:val="454A1AE0"/>
    <w:rsid w:val="467224C3"/>
    <w:rsid w:val="46E26BDC"/>
    <w:rsid w:val="4867383D"/>
    <w:rsid w:val="492D450B"/>
    <w:rsid w:val="49A91C74"/>
    <w:rsid w:val="49B900C8"/>
    <w:rsid w:val="4C044EA4"/>
    <w:rsid w:val="4D3B063E"/>
    <w:rsid w:val="4D5214EF"/>
    <w:rsid w:val="4E1E6470"/>
    <w:rsid w:val="4E6D1482"/>
    <w:rsid w:val="50090542"/>
    <w:rsid w:val="504F1D81"/>
    <w:rsid w:val="50BE6C2F"/>
    <w:rsid w:val="50DB0924"/>
    <w:rsid w:val="52052972"/>
    <w:rsid w:val="52B809B9"/>
    <w:rsid w:val="547D1E44"/>
    <w:rsid w:val="547E15C2"/>
    <w:rsid w:val="54A1616D"/>
    <w:rsid w:val="557E3F74"/>
    <w:rsid w:val="577F50B4"/>
    <w:rsid w:val="5783673E"/>
    <w:rsid w:val="58F632BA"/>
    <w:rsid w:val="596B201C"/>
    <w:rsid w:val="596D4A2C"/>
    <w:rsid w:val="5BF57987"/>
    <w:rsid w:val="5CAC6D2A"/>
    <w:rsid w:val="5D0858C1"/>
    <w:rsid w:val="5F9347C8"/>
    <w:rsid w:val="60140D7B"/>
    <w:rsid w:val="60EE471C"/>
    <w:rsid w:val="623C143F"/>
    <w:rsid w:val="629D5670"/>
    <w:rsid w:val="63297C17"/>
    <w:rsid w:val="635357E1"/>
    <w:rsid w:val="64357D9A"/>
    <w:rsid w:val="64855C0F"/>
    <w:rsid w:val="64D276F9"/>
    <w:rsid w:val="6A5769E5"/>
    <w:rsid w:val="6AB853DB"/>
    <w:rsid w:val="6C25069C"/>
    <w:rsid w:val="6C2A4B84"/>
    <w:rsid w:val="6D2B1638"/>
    <w:rsid w:val="6D317DF2"/>
    <w:rsid w:val="6E89072E"/>
    <w:rsid w:val="6E895A0C"/>
    <w:rsid w:val="6FCB5548"/>
    <w:rsid w:val="717D689A"/>
    <w:rsid w:val="73504D4A"/>
    <w:rsid w:val="748C7BA9"/>
    <w:rsid w:val="749A1F5A"/>
    <w:rsid w:val="79F0693F"/>
    <w:rsid w:val="7DBA0247"/>
    <w:rsid w:val="7F2A15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2569</Words>
  <Characters>3657</Characters>
  <Lines>37</Lines>
  <Paragraphs>10</Paragraphs>
  <TotalTime>18</TotalTime>
  <ScaleCrop>false</ScaleCrop>
  <LinksUpToDate>false</LinksUpToDate>
  <CharactersWithSpaces>3716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way一直都在</cp:lastModifiedBy>
  <dcterms:modified xsi:type="dcterms:W3CDTF">2022-06-01T05:31:17Z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2052-11.1.0.11691</vt:lpwstr>
  </property>
</Properties>
</file>