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四川乐诚新材料有限公司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12.03.00;12.05.02;16.02.04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</w:rPr>
              <w:t>赵勋平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12.03.00;12.05.02;16.02.04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bookmarkEnd w:id="6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7" w:name="_GoBack" w:colFirst="2" w:colLast="3"/>
            <w:bookmarkEnd w:id="7"/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材料准备-配料--投料-搅拌-检验--包装-入库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特殊过程：配料过程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  <w:t>中华人民共和国合同法、中华人民共和国劳动法、中华人民共和国质量法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GB/T25181-2010预拌砂浆、GB18582-2008室内装饰装修材料内墙涂料中有害物质限量、JG/T298-2010建筑室内用腻子、GB/T9756-2018合成树脂乳液内墙涂料、JC/T438-2006水溶性聚乙烯醇建筑胶粘剂、CCCF409.1-2015建筑装饰装修用胶粘剂产品质量监督抽查实施规范、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instrText xml:space="preserve"> HYPERLINK "http://www.csres.com/detail/58341.html" \t "http://www.csres.com/_blank" </w:instrTex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Times New Roman"/>
                <w:sz w:val="21"/>
                <w:szCs w:val="21"/>
                <w:highlight w:val="none"/>
                <w:lang w:val="en-US" w:eastAsia="zh-CN"/>
              </w:rPr>
              <w:t>GB/T 18178-2000</w:t>
            </w:r>
            <w:r>
              <w:rPr>
                <w:rFonts w:hint="default" w:ascii="宋体" w:hAnsi="宋体" w:cs="Times New Roman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水性涂料涂装体系选择通则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fldChar w:fldCharType="begin"/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instrText xml:space="preserve"> HYPERLINK "http://www.csres.com/detail/291147.html" \t "http://www.csres.com/_blank" </w:instrTex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t>HG/T 5066-2016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fldChar w:fldCharType="end"/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t>水性涂料用分散剂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fldChar w:fldCharType="begin"/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instrText xml:space="preserve"> HYPERLINK "http://www.csres.com/detail/22867.html" \t "http://www.csres.com/_blank" </w:instrTex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t>JC/T 423-1991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fldChar w:fldCharType="end"/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t>水溶性内墙涂料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fldChar w:fldCharType="begin"/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instrText xml:space="preserve"> HYPERLINK "http://www.csres.com/detail/192114.html" \t "http://www.csres.com/_blank" </w:instrTex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t>GB/T 12954.1-2008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fldChar w:fldCharType="end"/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</w:rPr>
              <w:t>建筑胶粘剂试验方法 第1部分: 陶瓷砖胶粘剂试验方法</w:t>
            </w:r>
            <w:r>
              <w:rPr>
                <w:rFonts w:hint="eastAsia" w:cs="Times New Roman"/>
                <w:b w:val="0"/>
                <w:bCs/>
                <w:sz w:val="20"/>
                <w:szCs w:val="22"/>
                <w:highlight w:val="none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</w:t>
      </w:r>
      <w:r>
        <w:rPr>
          <w:rFonts w:hint="eastAsia" w:ascii="Times New Roman" w:hAnsi="Times New Roman" w:cs="Times New Roman"/>
          <w:b/>
          <w:sz w:val="22"/>
          <w:szCs w:val="22"/>
        </w:rPr>
        <w:t>业人员)：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李林</w:t>
      </w:r>
      <w:r>
        <w:rPr>
          <w:rFonts w:hint="eastAsia" w:ascii="Times New Roman" w:hAnsi="Times New Roman" w:cs="Times New Roman"/>
          <w:b/>
          <w:sz w:val="22"/>
          <w:szCs w:val="22"/>
        </w:rPr>
        <w:t xml:space="preserve">       日期：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2019.12.22</w:t>
      </w:r>
      <w:r>
        <w:rPr>
          <w:rFonts w:hint="eastAsia" w:ascii="Times New Roman" w:hAnsi="Times New Roman" w:cs="Times New Roman"/>
          <w:b/>
          <w:sz w:val="22"/>
          <w:szCs w:val="22"/>
        </w:rPr>
        <w:t xml:space="preserve">         审核组长：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李林</w:t>
      </w:r>
      <w:r>
        <w:rPr>
          <w:rFonts w:hint="eastAsia" w:ascii="Times New Roman" w:hAnsi="Times New Roman" w:cs="Times New Roman"/>
          <w:b/>
          <w:sz w:val="22"/>
          <w:szCs w:val="22"/>
        </w:rPr>
        <w:t xml:space="preserve">       日期：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>2019.12.22</w:t>
      </w:r>
      <w:r>
        <w:rPr>
          <w:rFonts w:hint="eastAsia" w:ascii="Times New Roman" w:hAnsi="Times New Roman" w:cs="Times New Roman"/>
          <w:b/>
          <w:sz w:val="22"/>
          <w:szCs w:val="22"/>
        </w:rPr>
        <w:t xml:space="preserve"> 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A75319"/>
    <w:rsid w:val="05167DFE"/>
    <w:rsid w:val="0C475CF3"/>
    <w:rsid w:val="276C519C"/>
    <w:rsid w:val="2A4A1CCF"/>
    <w:rsid w:val="36082F90"/>
    <w:rsid w:val="4F9E6AAC"/>
    <w:rsid w:val="52381305"/>
    <w:rsid w:val="5D611AF8"/>
    <w:rsid w:val="5EFB3287"/>
    <w:rsid w:val="609F7E4D"/>
    <w:rsid w:val="67C53669"/>
    <w:rsid w:val="6ABC141A"/>
    <w:rsid w:val="6B5B1830"/>
    <w:rsid w:val="717A2263"/>
    <w:rsid w:val="73F620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2019-12-26T08:14:49Z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