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szCs w:val="21"/>
          <w:u w:val="single"/>
        </w:rPr>
        <w:t>0733-2022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珠海尚信科技有限公司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孙永涛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1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查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技术部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执行的标准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GB/T 778.1～3-2007 《中华人民共和国国家标准（封闭管道中水流量的测量饮用冷水水表和热水水表）》标准为旧版本，未更新。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GB/T19022-2003标准中6.2.1 </w:t>
            </w:r>
            <w:r>
              <w:rPr>
                <w:rFonts w:hint="eastAsia"/>
                <w:bCs/>
                <w:color w:val="auto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条款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val="en-US" w:eastAsia="zh-CN"/>
              </w:rPr>
              <w:t>程序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b w:val="0"/>
                <w:bCs w:val="0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792480" cy="285750"/>
                  <wp:effectExtent l="0" t="0" r="7620" b="0"/>
                  <wp:docPr id="2" name="图片 1" descr="f3ad6f22ea16eadfd96beb286da0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3ad6f22ea16eadfd96beb286da0e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763905" cy="382270"/>
                  <wp:effectExtent l="0" t="0" r="17145" b="17780"/>
                  <wp:docPr id="7" name="图片 7" descr="截图2022060209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截图2022060209144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b w:val="0"/>
                <w:bCs w:val="0"/>
                <w:i w:val="0"/>
                <w:iCs w:val="0"/>
                <w:u w:val="single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798195" cy="356235"/>
                  <wp:effectExtent l="0" t="0" r="1905" b="5715"/>
                  <wp:docPr id="4" name="图片 4" descr="4e5b3fa9ddefc9260309cffbbfb2f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e5b3fa9ddefc9260309cffbbfb2f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BA7A4">
                                  <a:alpha val="100000"/>
                                </a:srgbClr>
                              </a:clrFrom>
                              <a:clrTo>
                                <a:srgbClr val="ABA7A4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8838" t="32176" r="43827" b="22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b w:val="0"/>
                <w:bCs w:val="0"/>
                <w:i w:val="0"/>
                <w:iCs w:val="0"/>
                <w:u w:val="single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ind w:firstLine="5852" w:firstLineChars="27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2022年06月02日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GB/T 778.1～3-2007 《中华人民共和国国家标准（封闭管道中水流量的测量饮用冷水水表和热水水表）》标准进行查新，新标准为GB/T 778.1～3-2018 《中华人民共和国国家标准（封闭管道中水流量的测量饮用冷水水表和热水水表）》，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对内容进行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确认无误后使用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对其他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所用各类标准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进行查新、梳理，加强管理；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3、并组织相关人员学习标准相应条款。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46455" cy="377825"/>
                  <wp:effectExtent l="0" t="0" r="10795" b="3175"/>
                  <wp:docPr id="8" name="图片 8" descr="4e5b3fa9ddefc9260309cffbbfb2f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e5b3fa9ddefc9260309cffbbfb2f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BA7A4">
                                  <a:alpha val="100000"/>
                                </a:srgbClr>
                              </a:clrFrom>
                              <a:clrTo>
                                <a:srgbClr val="ABA7A4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8838" t="32176" r="43827" b="22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5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792480" cy="285750"/>
                  <wp:effectExtent l="0" t="0" r="7620" b="0"/>
                  <wp:docPr id="1" name="图片 1" descr="f3ad6f22ea16eadfd96beb286da0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3ad6f22ea16eadfd96beb286da0e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纠正措施已落实，验证有效。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792480" cy="285750"/>
                  <wp:effectExtent l="0" t="0" r="7620" b="0"/>
                  <wp:docPr id="3" name="图片 1" descr="f3ad6f22ea16eadfd96beb286da0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3ad6f22ea16eadfd96beb286da0e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2022年06月02日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10749"/>
    <w:multiLevelType w:val="singleLevel"/>
    <w:tmpl w:val="A2B1074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D3CC9"/>
    <w:rsid w:val="443B06AD"/>
    <w:rsid w:val="608A3879"/>
    <w:rsid w:val="62E1211F"/>
    <w:rsid w:val="64AB7774"/>
    <w:rsid w:val="650671FF"/>
    <w:rsid w:val="7381450F"/>
    <w:rsid w:val="78A954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依然</cp:lastModifiedBy>
  <dcterms:modified xsi:type="dcterms:W3CDTF">2022-06-02T01:50:10Z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57CE4E2D1C244EE1BFF2C95B073D7147</vt:lpwstr>
  </property>
</Properties>
</file>