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0436-2022-QEO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914"/>
        <w:gridCol w:w="2459"/>
        <w:gridCol w:w="31"/>
        <w:gridCol w:w="1306"/>
        <w:gridCol w:w="330"/>
        <w:gridCol w:w="854"/>
        <w:gridCol w:w="51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5"/>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石家庄市利民预制构件有限公司</w:t>
            </w:r>
            <w:bookmarkEnd w:id="1"/>
          </w:p>
        </w:tc>
        <w:tc>
          <w:tcPr>
            <w:tcW w:w="137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5"/>
          </w:tcPr>
          <w:p>
            <w:pPr>
              <w:snapToGrid w:val="0"/>
              <w:spacing w:line="0" w:lineRule="atLeast"/>
              <w:jc w:val="center"/>
              <w:rPr>
                <w:sz w:val="22"/>
                <w:szCs w:val="22"/>
              </w:rPr>
            </w:pPr>
          </w:p>
        </w:tc>
        <w:tc>
          <w:tcPr>
            <w:tcW w:w="1370"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5"/>
          </w:tcPr>
          <w:p>
            <w:pPr>
              <w:snapToGrid w:val="0"/>
              <w:spacing w:line="0" w:lineRule="atLeast"/>
              <w:jc w:val="center"/>
              <w:rPr>
                <w:sz w:val="22"/>
                <w:szCs w:val="22"/>
              </w:rPr>
            </w:pPr>
            <w:bookmarkStart w:id="4" w:name="机构代码"/>
            <w:r>
              <w:rPr>
                <w:sz w:val="22"/>
                <w:szCs w:val="22"/>
              </w:rPr>
              <w:t>91130192731433061G</w:t>
            </w:r>
            <w:bookmarkEnd w:id="4"/>
          </w:p>
        </w:tc>
        <w:tc>
          <w:tcPr>
            <w:tcW w:w="1370" w:type="dxa"/>
            <w:gridSpan w:val="2"/>
          </w:tcPr>
          <w:p>
            <w:pPr>
              <w:snapToGrid w:val="0"/>
              <w:spacing w:line="0" w:lineRule="atLeast"/>
              <w:jc w:val="center"/>
              <w:rPr>
                <w:sz w:val="22"/>
                <w:szCs w:val="22"/>
              </w:rPr>
            </w:pPr>
            <w:r>
              <w:rPr>
                <w:rFonts w:hint="eastAsia"/>
                <w:sz w:val="22"/>
                <w:szCs w:val="22"/>
              </w:rPr>
              <w:t>是否带标志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5"/>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w:t>
            </w:r>
            <w:bookmarkStart w:id="6" w:name="E勾选"/>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tc>
        <w:tc>
          <w:tcPr>
            <w:tcW w:w="137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Q:25,E:25,O:25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8"/>
          </w:tcPr>
          <w:p>
            <w:pPr>
              <w:pStyle w:val="3"/>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8"/>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9ED3A3"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gridSpan w:val="2"/>
            <w:vMerge w:val="restart"/>
          </w:tcPr>
          <w:p>
            <w:pPr>
              <w:snapToGrid w:val="0"/>
              <w:spacing w:line="0" w:lineRule="atLeast"/>
              <w:jc w:val="left"/>
              <w:rPr>
                <w:sz w:val="22"/>
                <w:szCs w:val="22"/>
                <w:lang w:val="en-GB"/>
              </w:rPr>
            </w:pPr>
            <w:bookmarkStart w:id="13" w:name="组织名称Add1"/>
            <w:r>
              <w:rPr>
                <w:rFonts w:hint="eastAsia"/>
                <w:sz w:val="22"/>
                <w:szCs w:val="22"/>
              </w:rPr>
              <w:t>石家庄市利民预制构件有限公司</w:t>
            </w:r>
            <w:bookmarkEnd w:id="13"/>
          </w:p>
        </w:tc>
        <w:tc>
          <w:tcPr>
            <w:tcW w:w="5013" w:type="dxa"/>
            <w:gridSpan w:val="6"/>
            <w:vMerge w:val="restart"/>
          </w:tcPr>
          <w:p>
            <w:pPr>
              <w:rPr>
                <w:sz w:val="20"/>
              </w:rPr>
            </w:pPr>
            <w:r>
              <w:rPr>
                <w:sz w:val="20"/>
              </w:rPr>
              <w:t>Q：资质范围内预拌混凝土的生产</w:t>
            </w:r>
          </w:p>
          <w:p>
            <w:pPr>
              <w:rPr>
                <w:sz w:val="20"/>
              </w:rPr>
            </w:pPr>
            <w:r>
              <w:rPr>
                <w:sz w:val="20"/>
              </w:rPr>
              <w:t>E：资质范围内预拌混凝土的生产所涉及场所的相关环境管理活动</w:t>
            </w:r>
          </w:p>
          <w:p>
            <w:pPr>
              <w:snapToGrid w:val="0"/>
              <w:spacing w:line="0" w:lineRule="atLeast"/>
              <w:jc w:val="left"/>
              <w:rPr>
                <w:sz w:val="22"/>
                <w:szCs w:val="22"/>
              </w:rPr>
            </w:pPr>
            <w:r>
              <w:rPr>
                <w:sz w:val="20"/>
              </w:rPr>
              <w:t>O：资质范围内预拌混凝土的生产所涉及场所的相关职业健康安全管理活动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2"/>
          </w:tcPr>
          <w:p>
            <w:pPr>
              <w:snapToGrid w:val="0"/>
              <w:spacing w:line="0" w:lineRule="atLeast"/>
              <w:jc w:val="left"/>
              <w:rPr>
                <w:sz w:val="22"/>
                <w:szCs w:val="22"/>
              </w:rPr>
            </w:pPr>
            <w:bookmarkStart w:id="14" w:name="注册地址"/>
            <w:r>
              <w:rPr>
                <w:rFonts w:hint="eastAsia"/>
                <w:sz w:val="22"/>
                <w:szCs w:val="22"/>
                <w:lang w:val="en-GB"/>
              </w:rPr>
              <w:t>石家庄市正定新区西上泽社区诚峰热电厂对过</w:t>
            </w:r>
            <w:bookmarkEnd w:id="14"/>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pPr>
              <w:snapToGrid w:val="0"/>
              <w:spacing w:line="0" w:lineRule="atLeast"/>
              <w:jc w:val="left"/>
              <w:rPr>
                <w:sz w:val="22"/>
                <w:szCs w:val="22"/>
              </w:rPr>
            </w:pPr>
            <w:bookmarkStart w:id="15" w:name="办公地址"/>
            <w:r>
              <w:rPr>
                <w:rFonts w:hint="eastAsia"/>
                <w:sz w:val="22"/>
                <w:szCs w:val="22"/>
                <w:lang w:val="en-GB"/>
              </w:rPr>
              <w:t>石家庄市正定新区西上泽社区诚峰热电厂对过</w:t>
            </w:r>
            <w:bookmarkEnd w:id="15"/>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6"/>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vMerge w:val="restart"/>
          </w:tcPr>
          <w:p>
            <w:pPr>
              <w:snapToGrid w:val="0"/>
              <w:spacing w:line="0" w:lineRule="atLeast"/>
              <w:jc w:val="left"/>
              <w:rPr>
                <w:sz w:val="22"/>
                <w:szCs w:val="22"/>
              </w:rPr>
            </w:pPr>
            <w:r>
              <w:rPr>
                <w:rFonts w:hint="eastAsia"/>
                <w:sz w:val="22"/>
                <w:szCs w:val="22"/>
              </w:rPr>
              <w:t>Shijiazhuang Limin prefabricated component Co., Ltd</w:t>
            </w:r>
          </w:p>
        </w:tc>
        <w:tc>
          <w:tcPr>
            <w:tcW w:w="1337" w:type="dxa"/>
            <w:gridSpan w:val="2"/>
            <w:vMerge w:val="restart"/>
          </w:tcPr>
          <w:p>
            <w:pPr>
              <w:snapToGrid w:val="0"/>
              <w:spacing w:line="0" w:lineRule="atLeast"/>
              <w:jc w:val="left"/>
              <w:rPr>
                <w:sz w:val="22"/>
                <w:szCs w:val="22"/>
              </w:rPr>
            </w:pPr>
            <w:r>
              <w:rPr>
                <w:rFonts w:hint="eastAsia"/>
                <w:sz w:val="22"/>
                <w:szCs w:val="22"/>
              </w:rPr>
              <w:t>QMS</w:t>
            </w:r>
          </w:p>
        </w:tc>
        <w:tc>
          <w:tcPr>
            <w:tcW w:w="3676" w:type="dxa"/>
            <w:gridSpan w:val="4"/>
            <w:vAlign w:val="top"/>
          </w:tcPr>
          <w:p>
            <w:pPr>
              <w:snapToGrid w:val="0"/>
              <w:spacing w:line="0" w:lineRule="atLeast"/>
              <w:jc w:val="left"/>
              <w:rPr>
                <w:rFonts w:ascii="Times New Roman" w:hAnsi="Times New Roman" w:eastAsia="宋体" w:cs="Times New Roman"/>
                <w:kern w:val="2"/>
                <w:sz w:val="21"/>
                <w:szCs w:val="16"/>
                <w:lang w:val="en-US" w:eastAsia="zh-CN" w:bidi="ar-SA"/>
              </w:rPr>
            </w:pPr>
            <w:r>
              <w:rPr>
                <w:rFonts w:hint="eastAsia"/>
                <w:sz w:val="21"/>
                <w:szCs w:val="16"/>
              </w:rPr>
              <w:t>Production of ready mixed concrete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vMerge w:val="restart"/>
          </w:tcPr>
          <w:p>
            <w:pPr>
              <w:snapToGrid w:val="0"/>
              <w:spacing w:line="0" w:lineRule="atLeast"/>
              <w:jc w:val="left"/>
              <w:rPr>
                <w:sz w:val="22"/>
                <w:szCs w:val="22"/>
              </w:rPr>
            </w:pPr>
            <w:r>
              <w:rPr>
                <w:rFonts w:hint="eastAsia"/>
                <w:sz w:val="22"/>
                <w:szCs w:val="22"/>
              </w:rPr>
              <w:t>Shijiazhuang Zhengding New Area xishangze community Chengfeng thermal power plant</w:t>
            </w:r>
          </w:p>
        </w:tc>
        <w:tc>
          <w:tcPr>
            <w:tcW w:w="1337" w:type="dxa"/>
            <w:gridSpan w:val="2"/>
            <w:vMerge w:val="restart"/>
          </w:tcPr>
          <w:p>
            <w:pPr>
              <w:snapToGrid w:val="0"/>
              <w:spacing w:line="0" w:lineRule="atLeast"/>
              <w:jc w:val="left"/>
              <w:rPr>
                <w:sz w:val="22"/>
                <w:szCs w:val="22"/>
              </w:rPr>
            </w:pPr>
            <w:r>
              <w:rPr>
                <w:rFonts w:hint="eastAsia"/>
                <w:sz w:val="22"/>
                <w:szCs w:val="22"/>
              </w:rPr>
              <w:t>EMS</w:t>
            </w:r>
          </w:p>
        </w:tc>
        <w:tc>
          <w:tcPr>
            <w:tcW w:w="3676" w:type="dxa"/>
            <w:gridSpan w:val="4"/>
            <w:vAlign w:val="top"/>
          </w:tcPr>
          <w:p>
            <w:pPr>
              <w:snapToGrid w:val="0"/>
              <w:spacing w:line="0" w:lineRule="atLeast"/>
              <w:jc w:val="left"/>
              <w:rPr>
                <w:rFonts w:ascii="Times New Roman" w:hAnsi="Times New Roman" w:eastAsia="宋体" w:cs="Times New Roman"/>
                <w:kern w:val="2"/>
                <w:sz w:val="22"/>
                <w:szCs w:val="22"/>
                <w:lang w:val="en-US" w:eastAsia="zh-CN" w:bidi="ar-SA"/>
              </w:rPr>
            </w:pPr>
            <w:r>
              <w:rPr>
                <w:rFonts w:hint="eastAsia"/>
                <w:sz w:val="22"/>
                <w:szCs w:val="22"/>
              </w:rPr>
              <w:t>Relevant environmental management activities of the places involved in the production of ready mixed concrete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tcPr>
          <w:p>
            <w:pPr>
              <w:snapToGrid w:val="0"/>
              <w:spacing w:line="0" w:lineRule="atLeast"/>
              <w:jc w:val="left"/>
              <w:rPr>
                <w:sz w:val="22"/>
                <w:szCs w:val="22"/>
              </w:rPr>
            </w:pPr>
            <w:r>
              <w:rPr>
                <w:rFonts w:hint="eastAsia"/>
                <w:sz w:val="22"/>
                <w:szCs w:val="22"/>
              </w:rPr>
              <w:t>Shijiazhuang Zhengding New Area xishangze community Chengfeng thermal power plant</w:t>
            </w:r>
          </w:p>
        </w:tc>
        <w:tc>
          <w:tcPr>
            <w:tcW w:w="1337" w:type="dxa"/>
            <w:gridSpan w:val="2"/>
          </w:tcPr>
          <w:p>
            <w:pPr>
              <w:snapToGrid w:val="0"/>
              <w:spacing w:line="0" w:lineRule="atLeast"/>
              <w:jc w:val="left"/>
              <w:rPr>
                <w:sz w:val="22"/>
                <w:szCs w:val="22"/>
              </w:rPr>
            </w:pPr>
            <w:r>
              <w:rPr>
                <w:rFonts w:hint="eastAsia"/>
                <w:sz w:val="22"/>
                <w:szCs w:val="22"/>
              </w:rPr>
              <w:t>OHSMS</w:t>
            </w:r>
          </w:p>
        </w:tc>
        <w:tc>
          <w:tcPr>
            <w:tcW w:w="3676" w:type="dxa"/>
            <w:gridSpan w:val="4"/>
            <w:vAlign w:val="top"/>
          </w:tcPr>
          <w:p>
            <w:pPr>
              <w:snapToGrid w:val="0"/>
              <w:spacing w:line="0" w:lineRule="atLeast"/>
              <w:jc w:val="left"/>
              <w:rPr>
                <w:rFonts w:ascii="Times New Roman" w:hAnsi="Times New Roman" w:eastAsia="宋体" w:cs="Times New Roman"/>
                <w:kern w:val="2"/>
                <w:sz w:val="22"/>
                <w:szCs w:val="22"/>
                <w:lang w:val="en-US" w:eastAsia="zh-CN" w:bidi="ar-SA"/>
              </w:rPr>
            </w:pPr>
            <w:r>
              <w:rPr>
                <w:rFonts w:hint="eastAsia"/>
                <w:sz w:val="22"/>
                <w:szCs w:val="22"/>
              </w:rPr>
              <w:t>Relevant occupational health and safety management activities in the places involved in the production of ready mixed concrete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9"/>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490" w:type="dxa"/>
            <w:gridSpan w:val="2"/>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hint="eastAsia"/>
                <w:sz w:val="22"/>
                <w:szCs w:val="18"/>
                <w:lang w:val="en-GB"/>
              </w:rPr>
            </w:pPr>
            <w:r>
              <w:rPr>
                <w:rFonts w:hint="eastAsia" w:cs="Arial"/>
                <w:b/>
                <w:bCs/>
                <w:sz w:val="22"/>
                <w:szCs w:val="16"/>
              </w:rPr>
              <w:t>签章</w:t>
            </w:r>
          </w:p>
        </w:tc>
        <w:tc>
          <w:tcPr>
            <w:tcW w:w="2490" w:type="dxa"/>
            <w:gridSpan w:val="2"/>
          </w:tcPr>
          <w:p>
            <w:pPr>
              <w:snapToGrid w:val="0"/>
              <w:spacing w:line="0" w:lineRule="atLeast"/>
              <w:jc w:val="left"/>
              <w:rPr>
                <w:rFonts w:hint="eastAsia"/>
                <w:sz w:val="22"/>
                <w:szCs w:val="18"/>
                <w:lang w:val="en-GB"/>
              </w:rPr>
            </w:pPr>
          </w:p>
        </w:tc>
        <w:tc>
          <w:tcPr>
            <w:tcW w:w="2490" w:type="dxa"/>
            <w:gridSpan w:val="3"/>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hint="eastAsia"/>
                <w:sz w:val="22"/>
                <w:szCs w:val="18"/>
                <w:lang w:val="en-GB"/>
              </w:rPr>
            </w:pPr>
            <w:r>
              <w:rPr>
                <w:rFonts w:hint="eastAsia"/>
                <w:sz w:val="22"/>
                <w:szCs w:val="18"/>
              </w:rPr>
              <w:t>签字</w:t>
            </w:r>
          </w:p>
        </w:tc>
        <w:tc>
          <w:tcPr>
            <w:tcW w:w="2492" w:type="dxa"/>
            <w:gridSpan w:val="2"/>
          </w:tcPr>
          <w:p>
            <w:pPr>
              <w:snapToGrid w:val="0"/>
              <w:spacing w:line="0" w:lineRule="atLeast"/>
              <w:jc w:val="left"/>
              <w:rPr>
                <w:rFonts w:hint="eastAsia"/>
                <w:sz w:val="22"/>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490" w:type="dxa"/>
            <w:gridSpan w:val="2"/>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2490" w:type="dxa"/>
            <w:gridSpan w:val="2"/>
          </w:tcPr>
          <w:p>
            <w:pPr>
              <w:snapToGrid w:val="0"/>
              <w:spacing w:line="0" w:lineRule="atLeast"/>
              <w:jc w:val="left"/>
              <w:rPr>
                <w:rFonts w:hint="eastAsia"/>
                <w:sz w:val="22"/>
                <w:szCs w:val="18"/>
                <w:lang w:val="en-GB"/>
              </w:rPr>
            </w:pPr>
          </w:p>
        </w:tc>
        <w:tc>
          <w:tcPr>
            <w:tcW w:w="2490" w:type="dxa"/>
            <w:gridSpan w:val="3"/>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2492" w:type="dxa"/>
            <w:gridSpan w:val="2"/>
          </w:tcPr>
          <w:p>
            <w:pPr>
              <w:snapToGrid w:val="0"/>
              <w:spacing w:line="0" w:lineRule="atLeast"/>
              <w:jc w:val="left"/>
              <w:rPr>
                <w:rFonts w:hint="eastAsia"/>
                <w:sz w:val="22"/>
                <w:szCs w:val="18"/>
                <w:lang w:val="en-GB"/>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p>
    <w:p>
      <w:pPr>
        <w:pStyle w:val="2"/>
        <w:rPr>
          <w:rFonts w:hint="eastAsia" w:eastAsia="宋体"/>
          <w:lang w:val="en-GB" w:eastAsia="zh-CN"/>
        </w:rPr>
      </w:pPr>
      <w:bookmarkStart w:id="16" w:name="_GoBack"/>
      <w:bookmarkEnd w:id="16"/>
      <w:r>
        <w:rPr>
          <w:rFonts w:hint="eastAsia" w:eastAsia="宋体"/>
          <w:lang w:val="en-GB" w:eastAsia="zh-CN"/>
        </w:rPr>
        <w:drawing>
          <wp:inline distT="0" distB="0" distL="114300" distR="114300">
            <wp:extent cx="6063615" cy="8862695"/>
            <wp:effectExtent l="0" t="0" r="6985" b="1905"/>
            <wp:docPr id="1" name="图片 1" descr="新文档 2022-06-09 16.03.24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09 16.03.24_17"/>
                    <pic:cNvPicPr>
                      <a:picLocks noChangeAspect="1"/>
                    </pic:cNvPicPr>
                  </pic:nvPicPr>
                  <pic:blipFill>
                    <a:blip r:embed="rId5"/>
                    <a:stretch>
                      <a:fillRect/>
                    </a:stretch>
                  </pic:blipFill>
                  <pic:spPr>
                    <a:xfrm>
                      <a:off x="0" y="0"/>
                      <a:ext cx="6063615" cy="8862695"/>
                    </a:xfrm>
                    <a:prstGeom prst="rect">
                      <a:avLst/>
                    </a:prstGeom>
                  </pic:spPr>
                </pic:pic>
              </a:graphicData>
            </a:graphic>
          </wp:inline>
        </w:drawing>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3B476CFA"/>
    <w:rsid w:val="6F0203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765</Words>
  <Characters>1403</Characters>
  <Lines>18</Lines>
  <Paragraphs>5</Paragraphs>
  <TotalTime>1</TotalTime>
  <ScaleCrop>false</ScaleCrop>
  <LinksUpToDate>false</LinksUpToDate>
  <CharactersWithSpaces>1574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2022-06-10T01:57:24Z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