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r>
        <w:rPr>
          <w:rFonts w:hint="eastAsia" w:ascii="隶书" w:hAnsi="宋体" w:eastAsia="隶书"/>
          <w:bCs/>
          <w:color w:val="000000"/>
          <w:sz w:val="36"/>
          <w:szCs w:val="36"/>
        </w:rPr>
        <w:t>管理体系审核记录表</w:t>
      </w:r>
    </w:p>
    <w:p>
      <w:pPr>
        <w:pStyle w:val="15"/>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51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过程与活动、</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抽样计划</w:t>
            </w:r>
          </w:p>
        </w:tc>
        <w:tc>
          <w:tcPr>
            <w:tcW w:w="1225" w:type="dxa"/>
            <w:vMerge w:val="restart"/>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涉及</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条款</w:t>
            </w: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受审核部门：办公室      主管领导：侯彩旋     陪同人员：赵梦</w:t>
            </w:r>
          </w:p>
        </w:tc>
        <w:tc>
          <w:tcPr>
            <w:tcW w:w="1077" w:type="dxa"/>
            <w:vMerge w:val="restart"/>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p>
        </w:tc>
        <w:tc>
          <w:tcPr>
            <w:tcW w:w="1225" w:type="dxa"/>
            <w:vMerge w:val="continue"/>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审核员：杨园            审核时间：2022年05月31日 </w:t>
            </w:r>
          </w:p>
        </w:tc>
        <w:tc>
          <w:tcPr>
            <w:tcW w:w="1077" w:type="dxa"/>
            <w:vMerge w:val="continue"/>
          </w:tcPr>
          <w:p>
            <w:pPr>
              <w:autoSpaceDE w:val="0"/>
              <w:autoSpaceDN w:val="0"/>
              <w:adjustRightInd w:val="0"/>
              <w:snapToGrid w:val="0"/>
              <w:spacing w:line="320" w:lineRule="exact"/>
              <w:rPr>
                <w:rFonts w:hint="default" w:ascii="Times New Roman" w:hAnsi="Times New Roman"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p>
        </w:tc>
        <w:tc>
          <w:tcPr>
            <w:tcW w:w="1225" w:type="dxa"/>
            <w:vMerge w:val="continue"/>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审核条款：Q5.3/6.2/7.5/9.2/10.2</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EO5.3/6.2/6.1.2/6.1.3/7.5/8.1/8.2/9.1/9.2/10.2；O5.4</w:t>
            </w:r>
          </w:p>
        </w:tc>
        <w:tc>
          <w:tcPr>
            <w:tcW w:w="1077" w:type="dxa"/>
            <w:vMerge w:val="continue"/>
          </w:tcPr>
          <w:p>
            <w:pPr>
              <w:autoSpaceDE w:val="0"/>
              <w:autoSpaceDN w:val="0"/>
              <w:adjustRightInd w:val="0"/>
              <w:snapToGrid w:val="0"/>
              <w:spacing w:line="320" w:lineRule="exact"/>
              <w:rPr>
                <w:rFonts w:hint="default" w:ascii="Times New Roman" w:hAnsi="Times New Roman"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岗位职责、权限</w:t>
            </w:r>
          </w:p>
        </w:tc>
        <w:tc>
          <w:tcPr>
            <w:tcW w:w="122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QEO5.3</w:t>
            </w:r>
          </w:p>
        </w:tc>
        <w:tc>
          <w:tcPr>
            <w:tcW w:w="10512"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办公室部门负责人：侯彩旋</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本部门主要负责：</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文件、记录等信息管理，人力资源管、法律法规其他要求及合规性评价、风险管理、危险源辨识与评价、环境因素识别与评价、参与职位管理、组织机构设置,组织编写、审核各部门职能说明书与职位说明书。</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本部门的日常事务管理工作，负责部门内员工的聘用、转正、报酬、待遇、离职等事务，完成本部门员工工作考核、激励及部门资金的预算和控制等工作。</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定期组织相关人员进行体检和劳保用品的发放；</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资源提供、应急准备与响应、监视与测量、体系管理等。</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 </w:t>
            </w: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部门职责清晰、明确。办公室负责人基本清楚本部门的主要职责。。</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目标</w:t>
            </w:r>
          </w:p>
        </w:tc>
        <w:tc>
          <w:tcPr>
            <w:tcW w:w="1225"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QEO6.2</w:t>
            </w:r>
          </w:p>
        </w:tc>
        <w:tc>
          <w:tcPr>
            <w:tcW w:w="10512"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执行《体系目标分解考核办法》，提供了《质量/环境/安全目标分解表》及考核记录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办公室部门目标：                  </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质量       培训按计划执行率100%</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体系文件100%受控。</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风险分析措施执行率100%</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各项管理财务费用投入及时率100%</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环境       办公固废物分类处置率100%</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水、电最大限度节约</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火灾发生为零</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安全        火灾发生为零</w:t>
            </w:r>
          </w:p>
          <w:p>
            <w:pPr>
              <w:autoSpaceDE w:val="0"/>
              <w:autoSpaceDN w:val="0"/>
              <w:adjustRightInd w:val="0"/>
              <w:snapToGrid w:val="0"/>
              <w:spacing w:line="320" w:lineRule="exact"/>
              <w:ind w:firstLine="1050" w:firstLineChars="50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触电事故为零</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查2022年1季度的考核情况，目标均已完成，考核人：侯彩旋   2022.4.3</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抽查管理方案情况，编制了《环境/职业健康目标指标管理方案》：</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——环境目标指标：固废分类回收率100% </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管理方案：固废定点暂存，集中清运，固体废弃物分类放置区，可回收和不可回收的固体废弃物分类堆放，按分类标准加以划分。废弃防疫物资统一存放丢弃；</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进行培训，加强使用和操作管理，减少固废产生。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费用：1000元，起止时间：长期   责任部门：各部门</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——安全目标、指标：火灾事故为0</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管理方案：1.加强日常巡视；2.加强设备设施检查管理；3.现场如有动火必须严格按动火手续办理证件，并采取有效防范措施；4进行消防知识培训，并组织消防演练。费用：4000元 起止时间：长期  责任部门：各部门</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每季度组织一次对目标、指标管理方案进行程度、完成情况的考核，2022年第一季度的目标、指标管理方案完成情况考核，达到了阶段性的目标要求。制定的指标和管理方案基本可行</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p>
            <w:pPr>
              <w:autoSpaceDE w:val="0"/>
              <w:autoSpaceDN w:val="0"/>
              <w:adjustRightInd w:val="0"/>
              <w:snapToGrid w:val="0"/>
              <w:spacing w:line="320" w:lineRule="exact"/>
              <w:rPr>
                <w:rFonts w:hint="default" w:ascii="Times New Roman" w:hAnsi="Times New Roman"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环境因素、危险源识别</w:t>
            </w:r>
          </w:p>
        </w:tc>
        <w:tc>
          <w:tcPr>
            <w:tcW w:w="1225"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6.1.2</w:t>
            </w: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执行《环境因素识别与评价控制程序》《危险源识别及风险评价控制程序》，规定了环境因素识别/危险源辨识识别、评价的方法、频次、范围等要求。</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环境因素识别评价表》，涉及的活动包括：办公用水、用电、办公用品的废弃、清洁卫生、日常办公、外出、相关方等，办公室涉及的环境因素包括：污水、固废、生活垃圾/废弃防疫物资排放，火灾等。识别基本齐全。评价：考虑了影响程度和范围、可改进情况等，评价方法适宜，编制了《重要环境因素清单》，经评价涉及办公区域重要环境因素：固废排放，火灾；</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危险源辨识评价表》：也按照办公等活动的内容分别进行识别，办公室涉及的活动包括：办公用水、用电、办公用品的废弃、清洁卫生、日常办公等，涉及的危险源包括：触电、摔伤、交通事故、火灾等上下班路上和出差引起的车辆伤害，新冠病毒感染，识别基本齐全。提供《不可接受风险清单》，涉及办公室的有：火灾。</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根据识别出的重要环境因素和不可接受风险，制定了控制措施，如管理方案，运行控制，应急预案和演练等。</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评价基本准确。</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法律法规及其他要求，合规性评价</w:t>
            </w:r>
          </w:p>
        </w:tc>
        <w:tc>
          <w:tcPr>
            <w:tcW w:w="122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6.1.3</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9.1.2</w:t>
            </w:r>
          </w:p>
        </w:tc>
        <w:tc>
          <w:tcPr>
            <w:tcW w:w="10512"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sym w:font="Wingdings 2" w:char="F098"/>
            </w:r>
            <w:r>
              <w:rPr>
                <w:rFonts w:hint="default" w:ascii="Times New Roman" w:hAnsi="Times New Roman" w:cs="Times New Roman"/>
                <w:szCs w:val="21"/>
                <w:lang w:val="en-US" w:eastAsia="zh-CN"/>
              </w:rPr>
              <w:t>公司建立《法律法规及其他要求控制程序》，规定法律、法规及其他要求的范围、获取方法、确认及分发。</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办公室负责适用的产品和质量/环境/安全方面的法律法规的识别、获取和更新，并评价其适用性；提供了公司适用的环境/职业健康安全法律法规及其他要求清单：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中华人民共和国固体废物污染环境防治法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中华人民共和国水污染防治法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中华人民共和国节约能源法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中华人民共和国消防法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石家庄市生活垃圾分类管理条例</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建设项目环境保护管理条例</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河北省大气污染防治条例</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中华人民共和国职业病防治法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机关、团体、企业、事业单位消防安全管理规定</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中华人民共和国消防法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中华人民共和国安全生产法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安全生产违法行为行政处罚办法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中华人民共和国特种设备安全法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法律法规及其他要求在办公室存档一份，并已电子版的形式发到各部门电脑上。定期在网上查看法规的更新情况。</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●编制并执行《合规性评价控制程序》，提供了评价报告，均合规。</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查《合规性评价计划》，评价明确了合规性评价的目的、范围、输入内容等。编制：侯彩旋，审批：郭伟志，2022.4.5。</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环境因素法律法规合规性评价表》《职业健康安全合规性评价记录表》，从固废排放、节水节电、火灾消防、交通安全、新冠肺炎传染病、机械伤害等环境因素和安全方面使用的法律法规的适用情况及实际执行情况以及符合性进行了评价。</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提供了《合规性评价报告》，从评价结果来看，在环境、安全方面是合规的。评价人：侯彩旋  崔文娇，审批：郭伟志，2022.4.10</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文件化信息</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文件总则/管理手册、文件和记录控制</w:t>
            </w:r>
          </w:p>
        </w:tc>
        <w:tc>
          <w:tcPr>
            <w:tcW w:w="1225"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QEO</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7.5</w:t>
            </w: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查受审核方建立的管理体系文件包括：</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1.管理手册 SJ／SC-2022 B/0版，2022年4月1日发布实施（含管理方针、目标）</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2.程序文件SJ／CX-2022B/0版，28个包括标准要求的程序。</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3.编制了三级管理制度A/0版，包括14个管理制度</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4.编制了《文件控制程序》和《记录控制程序》用于对管理体系文件，符合标准要求。</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5.提供文件发放登记表、培训记录表、受控文件清单，填写及保管符合要求。查看文件发放回收记录，管理手册改版后进行了回收和重新发放，回收/发放日期：2022.4.1。</w:t>
            </w:r>
            <w:r>
              <w:rPr>
                <w:rFonts w:hint="default" w:ascii="Times New Roman" w:hAnsi="Times New Roman" w:cs="Times New Roman"/>
                <w:szCs w:val="21"/>
                <w:lang w:val="en-US" w:eastAsia="zh-CN"/>
              </w:rPr>
              <w:br w:type="textWrapping"/>
            </w:r>
            <w:r>
              <w:rPr>
                <w:rFonts w:hint="default" w:ascii="Times New Roman" w:hAnsi="Times New Roman" w:cs="Times New Roman"/>
                <w:szCs w:val="21"/>
                <w:lang w:val="en-US" w:eastAsia="zh-CN"/>
              </w:rPr>
              <w:t>6.各部门保存各记录，按时间整理，放置在文件柜中，以便检索，办公室定期对其进行检查，目前保存完好。</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top"/>
          </w:tcPr>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运行策划和控制</w:t>
            </w:r>
          </w:p>
        </w:tc>
        <w:tc>
          <w:tcPr>
            <w:tcW w:w="122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w:t>
            </w:r>
          </w:p>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8.1</w:t>
            </w:r>
          </w:p>
        </w:tc>
        <w:tc>
          <w:tcPr>
            <w:tcW w:w="10512"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本部门需执行的文件有：《安全生产教育培训考核管理制度》，《安全检查管理制度》《劳动防护用品配备使用制度》《安全用电管理制度》《应急准备和响应控制程序》节水、节电管理办法》《废弃物管理办法》《安全管理制度》《消防管理制度》等安全生产管理文件。 </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查运行控制情况：</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1.办公过程注意节约用电，做到人走灯灭，电脑长时间不用时关机，下班前要关闭电源；</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2.办公过程产生的固废按要求放到指定地点，查看无混放现象；办公用品按要求由办公室负责发放，作好记录； </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3.工作时间平均每天不超过8小时，为员工缴纳了社保</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4.查看办公室设备、电器状态良好，废弃物无混放现象，无火灾、触电隐患，配置了灭火器，并每月检查一次。</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5.公司为员工提供口罩、洗手液等劳动防护用品及卫生防疫物品，提供发放记录。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6.办公楼内疏散通道有应急灯、疏散指示标志等设施；消防设施由大楼物业进行维护。</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7.环境方面：污水：日常清洁、卫生产生，统一处理，排入城市管网，污水无外排情况。</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气体排放：主要是日常打印和复印产生，量较小，直接排空处理。</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噪声：办公活动无重大噪声。</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固废：一般办公固废主要是纸张等，按照公司垃圾分类箱分别放置，硒鼓、墨盒、灯管等由办公室统一更换，旧物收集，定期交供应商回收处理，公司未发生乱扔现象。</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8.安全方面：火灾：定期检测用电办公设备和线路，发现故障及时修复，正确使用设备，防止火灾发生，制定了消防预案并组织进行了演练。</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触电：定期检测用电办公设备和线路，发现故障及时修复，正确使用设备，防止触电事故发生。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交通事故：对员工进行交通安全的培训，上下班途中遵守交通规则，不违章，防止交通事故的发生。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职业病伤害：公司员工定期体检，了解身体健康状况。</w:t>
            </w:r>
          </w:p>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办公区域的环境、职业健康安全的控制基本满足要求。</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center"/>
          </w:tcPr>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应急准备及响应</w:t>
            </w:r>
          </w:p>
        </w:tc>
        <w:tc>
          <w:tcPr>
            <w:tcW w:w="1225" w:type="dxa"/>
            <w:vAlign w:val="center"/>
          </w:tcPr>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EO8.2</w:t>
            </w: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编制了《应急准备与响应控制程序》，确定可能对环境、职业健康安全造成影响的潜在的紧急情况或事故、事件，规定响应措施，以便防止和减少可能随之引发的有害的环境影响和相关的职业健康安全不良后果。</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公司在策划应急响应时，应考虑有关相关方的需求，如应急服务机构、相邻组织或居民等。</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查现场配备了有效的灭火器，急救包等物品。</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公司定期评审其应急准备和响应程序，必要时对其进行修订。特别是在事故、事件、紧急情况发生后进行。</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针对识别出的紧急情况编制了应急预案包括：火灾应急预案、触电伤亡事故应急预案、工伤事故应急预案、突发传染性疾病应急预案；</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——2021年12月19日组织了火灾应急预案演练；</w:t>
            </w:r>
            <w:r>
              <w:rPr>
                <w:rFonts w:hint="default" w:ascii="Times New Roman" w:hAnsi="Times New Roman" w:cs="Times New Roman"/>
                <w:szCs w:val="21"/>
                <w:lang w:val="en-US" w:eastAsia="zh-CN"/>
              </w:rPr>
              <w:tab/>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——2022年</w:t>
            </w:r>
            <w:r>
              <w:rPr>
                <w:rFonts w:hint="eastAsia" w:cs="Times New Roman"/>
                <w:szCs w:val="21"/>
                <w:lang w:val="en-US" w:eastAsia="zh-CN"/>
              </w:rPr>
              <w:t>3</w:t>
            </w:r>
            <w:r>
              <w:rPr>
                <w:rFonts w:hint="default" w:ascii="Times New Roman" w:hAnsi="Times New Roman" w:cs="Times New Roman"/>
                <w:szCs w:val="21"/>
                <w:lang w:val="en-US" w:eastAsia="zh-CN"/>
              </w:rPr>
              <w:t>月16日组织了触电伤害应急预案演练；</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——2022年4月12日在车间组织生产部进行了机械伤害应急预案演练；</w:t>
            </w:r>
          </w:p>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提供的演练记录，有演练的时间、地点、参加单位、演练程序、分工、应急处理过程等内容，演练后有对演练应急情况及预案适宜性的评价，评价结果：公司的应急预案满足要求，不需要修改。</w:t>
            </w:r>
          </w:p>
        </w:tc>
        <w:tc>
          <w:tcPr>
            <w:tcW w:w="1077" w:type="dxa"/>
            <w:vAlign w:val="top"/>
          </w:tcPr>
          <w:p>
            <w:pPr>
              <w:autoSpaceDE w:val="0"/>
              <w:autoSpaceDN w:val="0"/>
              <w:adjustRightInd w:val="0"/>
              <w:snapToGrid w:val="0"/>
              <w:spacing w:line="320" w:lineRule="exact"/>
              <w:rPr>
                <w:rFonts w:hint="eastAsia"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95" w:type="dxa"/>
            <w:vAlign w:val="center"/>
          </w:tcPr>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绩效的监视和测量</w:t>
            </w:r>
          </w:p>
        </w:tc>
        <w:tc>
          <w:tcPr>
            <w:tcW w:w="1225"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EO</w:t>
            </w:r>
          </w:p>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9.1.1</w:t>
            </w:r>
          </w:p>
        </w:tc>
        <w:tc>
          <w:tcPr>
            <w:tcW w:w="10512" w:type="dxa"/>
            <w:vAlign w:val="center"/>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编制了《监视与测量控制程序》，通过以下几种方式对运行过程绩效进行监视和测量：</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●该公司对管理体系过程进行监视和测量的方法包括：内审、管理评审、目标考核、过程的监视和测量检查等。</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内审、管理评审、目标考核详见9.2/9.3/6.2的审核记录.</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每月进行一次过程的监视和测量的检查，发现问题立即整改。</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查见2022年1-5月份环境安全运行检查记录，内容包括：部门、检查内容、检查结果、检查人、检查日期。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日常监督检查：管代负责对各部门的行为进行不定期的巡检。巡检内容包括：生产区域和办公销售现场管理情况、防护用品的使用情况、消防设施状况等。对发现的问题提出整改要求，责任部门整改，办公室验证整改效果。</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●环境绩效监测：办公区卫生间废水排入城市管网。</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一般固废（废纸张等），按规定收集，卖给废品收购站。</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车间固废：主要是废弃钢管料头，按规定存放并定期收集变卖，提供了《固定污染源排污登记回执》，登记编号：91130123MA09X6J61U001X，有效期至：2027年5月29日。</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被动监测：自体系建立以来没有发生过环境污染事故</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●职业健康安全监测：</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主动监测：职业健康安全目标指标：已完成</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为员工安全了体检，查郭宝成、郭伟志等人的体检报告，体检单位：陆军军医大学士官学校附属医院健康维护管理中心，体检日期：2022年5月6日。</w:t>
            </w:r>
          </w:p>
          <w:p>
            <w:pPr>
              <w:autoSpaceDE w:val="0"/>
              <w:autoSpaceDN w:val="0"/>
              <w:adjustRightInd w:val="0"/>
              <w:snapToGrid w:val="0"/>
              <w:spacing w:line="320" w:lineRule="exac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●监测设备：公司暂无环境、职业健康安全监测设备。</w:t>
            </w:r>
          </w:p>
        </w:tc>
        <w:tc>
          <w:tcPr>
            <w:tcW w:w="1077"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eastAsia"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内部审核</w:t>
            </w:r>
          </w:p>
        </w:tc>
        <w:tc>
          <w:tcPr>
            <w:tcW w:w="122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QEO9.2</w:t>
            </w:r>
          </w:p>
        </w:tc>
        <w:tc>
          <w:tcPr>
            <w:tcW w:w="10512"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●仍执行《内部审核控制程序》，对内部审核方案策划规定：内审每年进行一次，按部门/过程审核。管代介绍内审的安排和做法，与程序文件“内部审核程序”相符。为本次范围变更后的质量</w:t>
            </w:r>
            <w:r>
              <w:rPr>
                <w:rFonts w:hint="eastAsia" w:ascii="Times New Roman" w:hAnsi="Times New Roman" w:cs="Times New Roman"/>
                <w:szCs w:val="21"/>
                <w:lang w:val="en-US" w:eastAsia="zh-CN"/>
              </w:rPr>
              <w:t>、</w:t>
            </w:r>
            <w:r>
              <w:rPr>
                <w:rFonts w:hint="default" w:ascii="Times New Roman" w:hAnsi="Times New Roman" w:cs="Times New Roman"/>
                <w:szCs w:val="21"/>
                <w:lang w:val="en-US" w:eastAsia="zh-CN"/>
              </w:rPr>
              <w:t>环境、职业健康与安全管理体系运行的符合性及有效性是否符合策划的安排，确定体系是否得到有效的实施。</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●查内审：</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2022年4月25-26日进行，组长：侯彩旋，内审员:崔文娇，查培训记录，内审员经过培训，并经总经理任命。</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提供了《内部审核实施计划》，计划含盖本次审核的目的、范围、依据，日常安排，涉及了所有部门及相关过程。计划编制合理，无漏条款现象。查审核记录审核内容基本符合规定。</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审核活动共提出1个不符合项，分别分布办公室GB/T24001-6.1.3 GB/T45001-6.1.3条款；查不符合项报告，不符合项报告事实描述清楚，原因分析准确，纠正措施已实施，验证培训完成，验证人：崔文娇，2022.4.30。</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内部审核报告》：对体系文件和对体系的运作的符合性和有效性进行了评价，结论为：在不符合项采取了纠正措施并验证其有效性后，本公司质量、环境和职业健康安全管理体系的有效性、适宜性和符合性将有所提高，质量、环境和职业健康安全管理体系文件得到了有效的实施和保持。</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提供了内审员培训记录，审核员没有审核自己部门工作，具有独立性。</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不符合和纠正措施</w:t>
            </w:r>
          </w:p>
          <w:p>
            <w:pPr>
              <w:autoSpaceDE w:val="0"/>
              <w:autoSpaceDN w:val="0"/>
              <w:adjustRightInd w:val="0"/>
              <w:snapToGrid w:val="0"/>
              <w:spacing w:line="320" w:lineRule="exact"/>
              <w:rPr>
                <w:rFonts w:hint="default" w:ascii="Times New Roman" w:hAnsi="Times New Roman" w:cs="Times New Roman"/>
                <w:szCs w:val="21"/>
                <w:lang w:val="en-US" w:eastAsia="zh-CN"/>
              </w:rPr>
            </w:pPr>
          </w:p>
        </w:tc>
        <w:tc>
          <w:tcPr>
            <w:tcW w:w="1225"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QEO10.2</w:t>
            </w:r>
          </w:p>
        </w:tc>
        <w:tc>
          <w:tcPr>
            <w:tcW w:w="10512" w:type="dxa"/>
            <w:vAlign w:val="top"/>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 xml:space="preserve">●公司执行《不合格输出控制程序》《不合格和纠正措施控制程序》，对事故事件报告、调查、处理等以及纠正措施制定、实施、验证作了规定，其内容符合标准及组织实际要求。 </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查纠正措施实施情况：</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对内审中提出不合格项进行了原因分析,并制定、实施了纠正措施，并由内审员对所采取的纠正措施进行了验证，纠正措施有效；</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管理评审中发现的薄弱环节，分析了原因，采取了纠正措施。</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对管理体系日常检查和监督工作，业绩考评，客户满意度调查发现的不符合及时采取纠正，防止事态发展，进行原因分析，采取必要的纠正预防措施，防止事件的发生、再发生。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生产中产生的不合格品由生产部登记并分析原因，制定措施避免再发生。</w:t>
            </w:r>
          </w:p>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1077" w:type="dxa"/>
          </w:tcPr>
          <w:p>
            <w:pPr>
              <w:autoSpaceDE w:val="0"/>
              <w:autoSpaceDN w:val="0"/>
              <w:adjustRightInd w:val="0"/>
              <w:snapToGrid w:val="0"/>
              <w:spacing w:line="320" w:lineRule="exac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Y</w:t>
            </w:r>
          </w:p>
        </w:tc>
      </w:tr>
    </w:tbl>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spacing w:before="120"/>
              <w:jc w:val="center"/>
              <w:rPr>
                <w:sz w:val="21"/>
                <w:szCs w:val="21"/>
              </w:rPr>
            </w:pPr>
            <w:r>
              <w:rPr>
                <w:rFonts w:hint="eastAsia"/>
                <w:sz w:val="21"/>
                <w:szCs w:val="21"/>
              </w:rPr>
              <w:t>过程与活动、</w:t>
            </w:r>
          </w:p>
          <w:p>
            <w:pPr>
              <w:jc w:val="center"/>
              <w:rPr>
                <w:sz w:val="21"/>
                <w:szCs w:val="21"/>
              </w:rPr>
            </w:pPr>
            <w:r>
              <w:rPr>
                <w:rFonts w:hint="eastAsia"/>
                <w:sz w:val="21"/>
                <w:szCs w:val="21"/>
              </w:rPr>
              <w:t>抽样计划</w:t>
            </w:r>
          </w:p>
        </w:tc>
        <w:tc>
          <w:tcPr>
            <w:tcW w:w="1225" w:type="dxa"/>
            <w:vMerge w:val="restart"/>
            <w:vAlign w:val="center"/>
          </w:tcPr>
          <w:p>
            <w:pPr>
              <w:rPr>
                <w:sz w:val="21"/>
                <w:szCs w:val="21"/>
              </w:rPr>
            </w:pPr>
            <w:r>
              <w:rPr>
                <w:rFonts w:hint="eastAsia"/>
                <w:sz w:val="21"/>
                <w:szCs w:val="21"/>
              </w:rPr>
              <w:t>涉及</w:t>
            </w:r>
          </w:p>
          <w:p>
            <w:pPr>
              <w:rPr>
                <w:sz w:val="21"/>
                <w:szCs w:val="21"/>
              </w:rPr>
            </w:pPr>
            <w:r>
              <w:rPr>
                <w:rFonts w:hint="eastAsia"/>
                <w:sz w:val="21"/>
                <w:szCs w:val="21"/>
              </w:rPr>
              <w:t>条款</w:t>
            </w:r>
          </w:p>
        </w:tc>
        <w:tc>
          <w:tcPr>
            <w:tcW w:w="10004" w:type="dxa"/>
            <w:vAlign w:val="center"/>
          </w:tcPr>
          <w:p>
            <w:pPr>
              <w:rPr>
                <w:rFonts w:hint="eastAsia" w:eastAsia="宋体"/>
                <w:sz w:val="21"/>
                <w:szCs w:val="21"/>
                <w:lang w:val="en-US" w:eastAsia="zh-CN"/>
              </w:rPr>
            </w:pPr>
            <w:r>
              <w:rPr>
                <w:rFonts w:hint="eastAsia"/>
                <w:sz w:val="21"/>
                <w:szCs w:val="21"/>
              </w:rPr>
              <w:t>受审核部门：</w:t>
            </w:r>
            <w:r>
              <w:rPr>
                <w:rFonts w:hint="eastAsia"/>
                <w:sz w:val="21"/>
                <w:szCs w:val="21"/>
                <w:lang w:eastAsia="zh-CN"/>
              </w:rPr>
              <w:t>销售部</w:t>
            </w:r>
            <w:r>
              <w:rPr>
                <w:rFonts w:hint="eastAsia"/>
                <w:sz w:val="21"/>
                <w:szCs w:val="21"/>
                <w:lang w:val="en-US" w:eastAsia="zh-CN"/>
              </w:rPr>
              <w:t xml:space="preserve">       </w:t>
            </w:r>
            <w:r>
              <w:rPr>
                <w:rFonts w:hint="eastAsia"/>
                <w:sz w:val="21"/>
                <w:szCs w:val="21"/>
              </w:rPr>
              <w:t>主管领导：</w:t>
            </w:r>
            <w:r>
              <w:rPr>
                <w:rFonts w:hint="eastAsia"/>
                <w:sz w:val="21"/>
                <w:szCs w:val="21"/>
                <w:lang w:eastAsia="zh-CN"/>
              </w:rPr>
              <w:t>底玉莹</w:t>
            </w:r>
            <w:r>
              <w:rPr>
                <w:rFonts w:hint="eastAsia"/>
                <w:sz w:val="21"/>
                <w:szCs w:val="21"/>
                <w:lang w:val="en-US" w:eastAsia="zh-CN"/>
              </w:rPr>
              <w:t xml:space="preserve">       </w:t>
            </w:r>
            <w:r>
              <w:rPr>
                <w:rFonts w:hint="eastAsia"/>
                <w:sz w:val="21"/>
                <w:szCs w:val="21"/>
              </w:rPr>
              <w:t>陪同人员：</w:t>
            </w:r>
            <w:r>
              <w:rPr>
                <w:rFonts w:hint="eastAsia"/>
                <w:sz w:val="21"/>
                <w:szCs w:val="21"/>
                <w:lang w:eastAsia="zh-CN"/>
              </w:rPr>
              <w:t>杨磊</w:t>
            </w:r>
          </w:p>
        </w:tc>
        <w:tc>
          <w:tcPr>
            <w:tcW w:w="1585" w:type="dxa"/>
            <w:vMerge w:val="restart"/>
            <w:vAlign w:val="center"/>
          </w:tcPr>
          <w:p>
            <w:pPr>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spacing w:before="120"/>
              <w:rPr>
                <w:rFonts w:hint="default" w:eastAsia="宋体"/>
                <w:sz w:val="21"/>
                <w:szCs w:val="21"/>
                <w:lang w:val="en-US" w:eastAsia="zh-CN"/>
              </w:rPr>
            </w:pPr>
            <w:r>
              <w:rPr>
                <w:rFonts w:hint="eastAsia"/>
                <w:sz w:val="21"/>
                <w:szCs w:val="21"/>
              </w:rPr>
              <w:t>审核员：</w:t>
            </w:r>
            <w:r>
              <w:rPr>
                <w:rFonts w:hint="eastAsia"/>
                <w:sz w:val="21"/>
                <w:szCs w:val="21"/>
                <w:lang w:eastAsia="zh-CN"/>
              </w:rPr>
              <w:t>杨园</w:t>
            </w:r>
            <w:r>
              <w:rPr>
                <w:rFonts w:hint="eastAsia"/>
                <w:sz w:val="21"/>
                <w:szCs w:val="21"/>
                <w:lang w:val="en-US" w:eastAsia="zh-CN"/>
              </w:rPr>
              <w:t xml:space="preserve">             </w:t>
            </w:r>
            <w:r>
              <w:rPr>
                <w:rFonts w:hint="eastAsia"/>
                <w:sz w:val="21"/>
                <w:szCs w:val="21"/>
              </w:rPr>
              <w:t>审核时间：</w:t>
            </w:r>
            <w:r>
              <w:rPr>
                <w:sz w:val="21"/>
                <w:szCs w:val="21"/>
              </w:rPr>
              <w:t>2022年0</w:t>
            </w:r>
            <w:r>
              <w:rPr>
                <w:rFonts w:hint="eastAsia"/>
                <w:sz w:val="21"/>
                <w:szCs w:val="21"/>
                <w:lang w:val="en-US" w:eastAsia="zh-CN"/>
              </w:rPr>
              <w:t>5</w:t>
            </w:r>
            <w:r>
              <w:rPr>
                <w:sz w:val="21"/>
                <w:szCs w:val="21"/>
              </w:rPr>
              <w:t>月</w:t>
            </w:r>
            <w:r>
              <w:rPr>
                <w:rFonts w:hint="eastAsia"/>
                <w:sz w:val="21"/>
                <w:szCs w:val="21"/>
                <w:lang w:val="en-US" w:eastAsia="zh-CN"/>
              </w:rPr>
              <w:t>31</w:t>
            </w:r>
            <w:r>
              <w:rPr>
                <w:sz w:val="21"/>
                <w:szCs w:val="21"/>
              </w:rPr>
              <w:t>日</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sz w:val="21"/>
                <w:szCs w:val="21"/>
              </w:rPr>
            </w:pPr>
          </w:p>
        </w:tc>
        <w:tc>
          <w:tcPr>
            <w:tcW w:w="1225" w:type="dxa"/>
            <w:vMerge w:val="continue"/>
            <w:vAlign w:val="center"/>
          </w:tcPr>
          <w:p>
            <w:pPr>
              <w:rPr>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cs="Times New Roman"/>
                <w:sz w:val="21"/>
                <w:szCs w:val="21"/>
              </w:rPr>
            </w:pPr>
            <w:r>
              <w:rPr>
                <w:rFonts w:hint="eastAsia"/>
                <w:sz w:val="21"/>
                <w:szCs w:val="21"/>
              </w:rPr>
              <w:t>审核条款</w:t>
            </w:r>
            <w:r>
              <w:rPr>
                <w:rFonts w:hint="eastAsia" w:ascii="Times New Roman" w:hAnsi="Times New Roman" w:eastAsia="宋体" w:cs="Times New Roman"/>
                <w:sz w:val="21"/>
                <w:szCs w:val="21"/>
                <w:lang w:eastAsia="zh-CN"/>
              </w:rPr>
              <w:t>：</w:t>
            </w:r>
            <w:r>
              <w:rPr>
                <w:rFonts w:hint="default" w:ascii="Times New Roman" w:hAnsi="Times New Roman" w:cs="Times New Roman"/>
                <w:sz w:val="21"/>
                <w:szCs w:val="21"/>
              </w:rPr>
              <w:t>Q</w:t>
            </w:r>
            <w:r>
              <w:rPr>
                <w:rFonts w:hint="default" w:ascii="Times New Roman" w:hAnsi="Times New Roman" w:cs="Times New Roman"/>
                <w:sz w:val="21"/>
                <w:szCs w:val="21"/>
                <w:lang w:val="en-US" w:eastAsia="zh-CN"/>
              </w:rPr>
              <w:t>5.3/</w:t>
            </w:r>
            <w:r>
              <w:rPr>
                <w:rFonts w:hint="eastAsia" w:cs="Times New Roman"/>
                <w:sz w:val="21"/>
                <w:szCs w:val="21"/>
                <w:lang w:val="en-US" w:eastAsia="zh-CN"/>
              </w:rPr>
              <w:t>6.2/8.2/8.4/</w:t>
            </w:r>
            <w:r>
              <w:rPr>
                <w:rFonts w:hint="eastAsia" w:ascii="Times New Roman" w:hAnsi="Times New Roman" w:cs="Times New Roman"/>
                <w:sz w:val="21"/>
                <w:szCs w:val="21"/>
                <w:lang w:val="en-US" w:eastAsia="zh-CN"/>
              </w:rPr>
              <w:t>9.1.</w:t>
            </w:r>
            <w:r>
              <w:rPr>
                <w:rFonts w:hint="eastAsia" w:cs="Times New Roman"/>
                <w:sz w:val="21"/>
                <w:szCs w:val="21"/>
                <w:lang w:val="en-US" w:eastAsia="zh-CN"/>
              </w:rPr>
              <w:t>2</w:t>
            </w:r>
          </w:p>
          <w:p>
            <w:pPr>
              <w:spacing w:before="120"/>
              <w:ind w:firstLine="1050" w:firstLineChars="500"/>
              <w:rPr>
                <w:rFonts w:hint="default"/>
                <w:sz w:val="21"/>
                <w:szCs w:val="21"/>
                <w:lang w:val="en-US"/>
              </w:rPr>
            </w:pPr>
            <w:r>
              <w:rPr>
                <w:rFonts w:hint="default" w:ascii="Times New Roman" w:hAnsi="Times New Roman" w:cs="Times New Roman"/>
                <w:sz w:val="21"/>
                <w:szCs w:val="21"/>
              </w:rPr>
              <w:t>E</w:t>
            </w:r>
            <w:r>
              <w:rPr>
                <w:rFonts w:hint="eastAsia" w:ascii="Times New Roman" w:hAnsi="Times New Roman" w:cs="Times New Roman"/>
                <w:sz w:val="21"/>
                <w:szCs w:val="21"/>
                <w:lang w:val="en-US" w:eastAsia="zh-CN"/>
              </w:rPr>
              <w:t>O</w:t>
            </w:r>
            <w:r>
              <w:rPr>
                <w:rFonts w:hint="default" w:ascii="Times New Roman" w:hAnsi="Times New Roman" w:cs="Times New Roman"/>
                <w:sz w:val="21"/>
                <w:szCs w:val="21"/>
                <w:lang w:val="en-US" w:eastAsia="zh-CN"/>
              </w:rPr>
              <w:t>5.3</w:t>
            </w:r>
            <w:r>
              <w:rPr>
                <w:rFonts w:hint="default" w:ascii="Times New Roman" w:hAnsi="Times New Roman" w:cs="Times New Roman"/>
                <w:sz w:val="21"/>
                <w:szCs w:val="21"/>
              </w:rPr>
              <w:t>/</w:t>
            </w:r>
            <w:r>
              <w:rPr>
                <w:rFonts w:hint="eastAsia" w:cs="Times New Roman"/>
                <w:sz w:val="21"/>
                <w:szCs w:val="21"/>
                <w:lang w:val="en-US" w:eastAsia="zh-CN"/>
              </w:rPr>
              <w:t>6.2/</w:t>
            </w:r>
            <w:r>
              <w:rPr>
                <w:rFonts w:hint="eastAsia" w:ascii="Times New Roman" w:hAnsi="Times New Roman" w:cs="Times New Roman"/>
                <w:sz w:val="21"/>
                <w:szCs w:val="21"/>
                <w:lang w:val="en-US" w:eastAsia="zh-CN"/>
              </w:rPr>
              <w:t>6.1.2/</w:t>
            </w:r>
            <w:r>
              <w:rPr>
                <w:rFonts w:hint="eastAsia" w:cs="Times New Roman"/>
                <w:sz w:val="21"/>
                <w:szCs w:val="21"/>
                <w:lang w:val="en-US" w:eastAsia="zh-CN"/>
              </w:rPr>
              <w:t>8.1/8.2</w:t>
            </w:r>
          </w:p>
        </w:tc>
        <w:tc>
          <w:tcPr>
            <w:tcW w:w="1585"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组织的岗位、职责权限</w:t>
            </w:r>
          </w:p>
        </w:tc>
        <w:tc>
          <w:tcPr>
            <w:tcW w:w="122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QEO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5.3</w:t>
            </w:r>
          </w:p>
        </w:tc>
        <w:tc>
          <w:tcPr>
            <w:tcW w:w="10004" w:type="dxa"/>
          </w:tcPr>
          <w:p>
            <w:pPr>
              <w:rPr>
                <w:rFonts w:hint="eastAsia" w:ascii="Times New Roman" w:hAnsi="Times New Roman" w:eastAsia="宋体" w:cs="Times New Roman"/>
                <w:sz w:val="21"/>
                <w:szCs w:val="21"/>
                <w:lang w:eastAsia="zh-CN"/>
              </w:rPr>
            </w:pPr>
            <w:r>
              <w:rPr>
                <w:rFonts w:hint="eastAsia" w:cs="Times New Roman"/>
                <w:sz w:val="21"/>
                <w:szCs w:val="21"/>
                <w:lang w:eastAsia="zh-CN"/>
              </w:rPr>
              <w:t>●销售部</w:t>
            </w:r>
            <w:r>
              <w:rPr>
                <w:rFonts w:hint="eastAsia" w:ascii="Times New Roman" w:hAnsi="Times New Roman" w:eastAsia="宋体" w:cs="Times New Roman"/>
                <w:sz w:val="21"/>
                <w:szCs w:val="21"/>
                <w:lang w:eastAsia="zh-CN"/>
              </w:rPr>
              <w:t>负责人：</w:t>
            </w:r>
            <w:r>
              <w:rPr>
                <w:rFonts w:hint="eastAsia" w:cs="Times New Roman"/>
                <w:sz w:val="21"/>
                <w:szCs w:val="21"/>
                <w:lang w:eastAsia="zh-CN"/>
              </w:rPr>
              <w:t>底玉莹</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销售部负责组织合同的评审及合同管理；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组织、协调招标文件和投标文件的编制工作；</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负责顾客满意度测量工作；组织市场调研，收集市场信息，</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掌握市场动向，发展状况趋势，并有效针对性策划相关策略；</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本部门的日常事务管理工作，完成本部门员工工作考核；</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采购管理制度的制定；</w:t>
            </w:r>
            <w:r>
              <w:rPr>
                <w:rFonts w:hint="eastAsia" w:cs="Times New Roman"/>
                <w:sz w:val="21"/>
                <w:szCs w:val="21"/>
                <w:lang w:val="en-US" w:eastAsia="zh-CN"/>
              </w:rPr>
              <w:t>采购管理工作</w:t>
            </w:r>
            <w:r>
              <w:rPr>
                <w:rFonts w:hint="eastAsia" w:ascii="Times New Roman" w:hAnsi="Times New Roman" w:eastAsia="宋体" w:cs="Times New Roman"/>
                <w:sz w:val="21"/>
                <w:szCs w:val="21"/>
                <w:lang w:val="en-US" w:eastAsia="zh-CN"/>
              </w:rPr>
              <w:t>；随时搜集市场价格信息，建立供应商信息档案库，了解市场最新动态及最低价格，实现最优化采购；</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职责明确，回答基本完整。</w:t>
            </w:r>
          </w:p>
        </w:tc>
        <w:tc>
          <w:tcPr>
            <w:tcW w:w="1585" w:type="dxa"/>
          </w:tcPr>
          <w:p>
            <w:pPr>
              <w:rPr>
                <w:rFonts w:hint="eastAsia" w:eastAsia="宋体"/>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目标、方案</w:t>
            </w:r>
          </w:p>
        </w:tc>
        <w:tc>
          <w:tcPr>
            <w:tcW w:w="1225" w:type="dxa"/>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QEO </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6.2</w:t>
            </w:r>
          </w:p>
        </w:tc>
        <w:tc>
          <w:tcPr>
            <w:tcW w:w="10004" w:type="dxa"/>
          </w:tcPr>
          <w:p>
            <w:pPr>
              <w:rPr>
                <w:rFonts w:hint="eastAsia" w:ascii="Times New Roman" w:hAnsi="Times New Roman" w:eastAsia="宋体" w:cs="Times New Roman"/>
                <w:sz w:val="21"/>
                <w:szCs w:val="21"/>
                <w:lang w:eastAsia="zh-CN"/>
              </w:rPr>
            </w:pPr>
            <w:r>
              <w:rPr>
                <w:rFonts w:hint="eastAsia" w:cs="Times New Roman"/>
                <w:sz w:val="21"/>
                <w:szCs w:val="21"/>
                <w:lang w:eastAsia="zh-CN"/>
              </w:rPr>
              <w:t>●</w:t>
            </w:r>
            <w:r>
              <w:rPr>
                <w:rFonts w:hint="eastAsia" w:ascii="Times New Roman" w:hAnsi="Times New Roman" w:eastAsia="宋体" w:cs="Times New Roman"/>
                <w:sz w:val="21"/>
                <w:szCs w:val="21"/>
                <w:lang w:eastAsia="zh-CN"/>
              </w:rPr>
              <w:t>执行《</w:t>
            </w:r>
            <w:r>
              <w:rPr>
                <w:rFonts w:hint="eastAsia" w:cs="Times New Roman"/>
                <w:sz w:val="21"/>
                <w:szCs w:val="21"/>
                <w:lang w:eastAsia="zh-CN"/>
              </w:rPr>
              <w:t>体系目标分解考核办法</w:t>
            </w:r>
            <w:r>
              <w:rPr>
                <w:rFonts w:hint="eastAsia" w:ascii="Times New Roman" w:hAnsi="Times New Roman" w:eastAsia="宋体" w:cs="Times New Roman"/>
                <w:sz w:val="21"/>
                <w:szCs w:val="21"/>
                <w:lang w:eastAsia="zh-CN"/>
              </w:rPr>
              <w:t>》</w:t>
            </w:r>
            <w:r>
              <w:rPr>
                <w:rFonts w:hint="eastAsia" w:cs="Times New Roman"/>
                <w:sz w:val="21"/>
                <w:szCs w:val="21"/>
                <w:lang w:eastAsia="zh-CN"/>
              </w:rPr>
              <w:t>，</w:t>
            </w:r>
            <w:r>
              <w:rPr>
                <w:rFonts w:hint="eastAsia" w:ascii="Times New Roman" w:hAnsi="Times New Roman" w:eastAsia="宋体" w:cs="Times New Roman"/>
                <w:sz w:val="21"/>
                <w:szCs w:val="21"/>
                <w:lang w:eastAsia="zh-CN"/>
              </w:rPr>
              <w:t>提供了《</w:t>
            </w:r>
            <w:r>
              <w:rPr>
                <w:rFonts w:hint="eastAsia" w:cs="Times New Roman"/>
                <w:sz w:val="21"/>
                <w:szCs w:val="21"/>
                <w:lang w:val="en-US" w:eastAsia="zh-CN"/>
              </w:rPr>
              <w:t>质量/环境/安全目标分解表</w:t>
            </w:r>
            <w:r>
              <w:rPr>
                <w:rFonts w:hint="eastAsia" w:cs="Times New Roman"/>
                <w:sz w:val="21"/>
                <w:szCs w:val="21"/>
                <w:lang w:eastAsia="zh-CN"/>
              </w:rPr>
              <w:t>》及考核记录</w:t>
            </w:r>
          </w:p>
          <w:p>
            <w:pPr>
              <w:rPr>
                <w:rFonts w:hint="eastAsia" w:ascii="Times New Roman" w:hAnsi="Times New Roman" w:eastAsia="宋体" w:cs="Times New Roman"/>
                <w:sz w:val="21"/>
                <w:szCs w:val="21"/>
                <w:lang w:eastAsia="zh-CN"/>
              </w:rPr>
            </w:pPr>
            <w:r>
              <w:rPr>
                <w:rFonts w:hint="eastAsia" w:cs="Times New Roman"/>
                <w:sz w:val="21"/>
                <w:szCs w:val="21"/>
                <w:lang w:eastAsia="zh-CN"/>
              </w:rPr>
              <w:t>销售部</w:t>
            </w:r>
            <w:r>
              <w:rPr>
                <w:rFonts w:hint="eastAsia" w:ascii="Times New Roman" w:hAnsi="Times New Roman" w:eastAsia="宋体" w:cs="Times New Roman"/>
                <w:sz w:val="21"/>
                <w:szCs w:val="21"/>
                <w:lang w:eastAsia="zh-CN"/>
              </w:rPr>
              <w:t xml:space="preserve">部门目标：                </w:t>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考核情况</w:t>
            </w:r>
            <w:r>
              <w:rPr>
                <w:rFonts w:hint="eastAsia" w:cs="Times New Roman"/>
                <w:sz w:val="21"/>
                <w:szCs w:val="21"/>
                <w:lang w:eastAsia="zh-CN"/>
              </w:rPr>
              <w:t>（</w:t>
            </w:r>
            <w:r>
              <w:rPr>
                <w:rFonts w:hint="eastAsia" w:cs="Times New Roman"/>
                <w:sz w:val="21"/>
                <w:szCs w:val="21"/>
                <w:lang w:val="en-US" w:eastAsia="zh-CN"/>
              </w:rPr>
              <w:t>2022年1季度</w:t>
            </w:r>
            <w:r>
              <w:rPr>
                <w:rFonts w:hint="eastAsia" w:cs="Times New Roman"/>
                <w:sz w:val="21"/>
                <w:szCs w:val="21"/>
                <w:lang w:eastAsia="zh-CN"/>
              </w:rPr>
              <w:t>）</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顾客满意度≥95%；</w:t>
            </w:r>
            <w:r>
              <w:rPr>
                <w:rFonts w:hint="eastAsia" w:cs="Times New Roman"/>
                <w:sz w:val="21"/>
                <w:szCs w:val="21"/>
                <w:lang w:val="en-US" w:eastAsia="zh-CN"/>
              </w:rPr>
              <w:t xml:space="preserve">                  96%</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采购货物交货及时率100%</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及时处理顾客反馈信息率100%。</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合同评审率100%</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采购货物的质量合格率 100%</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采购到位率≥ 98%</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固废收集率100%</w:t>
            </w:r>
            <w:r>
              <w:rPr>
                <w:rFonts w:hint="eastAsia" w:cs="Times New Roman"/>
                <w:sz w:val="21"/>
                <w:szCs w:val="21"/>
                <w:lang w:val="en-US" w:eastAsia="zh-CN"/>
              </w:rPr>
              <w:t xml:space="preserve">                     100%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火灾发生率</w:t>
            </w:r>
            <w:r>
              <w:rPr>
                <w:rFonts w:hint="eastAsia" w:cs="Times New Roman"/>
                <w:sz w:val="21"/>
                <w:szCs w:val="21"/>
                <w:lang w:val="en-US" w:eastAsia="zh-CN"/>
              </w:rPr>
              <w:t xml:space="preserve">                            0</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火灾发生为零</w:t>
            </w:r>
            <w:r>
              <w:rPr>
                <w:rFonts w:hint="eastAsia" w:cs="Times New Roman"/>
                <w:sz w:val="21"/>
                <w:szCs w:val="21"/>
                <w:lang w:val="en-US" w:eastAsia="zh-CN"/>
              </w:rPr>
              <w:t xml:space="preserve">                          0</w:t>
            </w:r>
          </w:p>
          <w:p>
            <w:pPr>
              <w:rPr>
                <w:rFonts w:hint="eastAsia" w:ascii="Times New Roman" w:hAnsi="Times New Roman" w:eastAsia="宋体" w:cs="Times New Roman"/>
                <w:sz w:val="21"/>
                <w:szCs w:val="21"/>
                <w:lang w:eastAsia="zh-CN"/>
              </w:rPr>
            </w:pPr>
            <w:r>
              <w:rPr>
                <w:rFonts w:hint="eastAsia" w:cs="Times New Roman"/>
                <w:sz w:val="21"/>
                <w:szCs w:val="21"/>
                <w:lang w:eastAsia="zh-CN"/>
              </w:rPr>
              <w:t>考核人：侯彩旋</w:t>
            </w:r>
            <w:r>
              <w:rPr>
                <w:rFonts w:hint="eastAsia" w:cs="Times New Roman"/>
                <w:sz w:val="21"/>
                <w:szCs w:val="21"/>
                <w:lang w:val="en-US" w:eastAsia="zh-CN"/>
              </w:rPr>
              <w:t xml:space="preserve">   2022.4.3</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抽查管理方案情况，编制了《环境</w:t>
            </w:r>
            <w:r>
              <w:rPr>
                <w:rFonts w:hint="eastAsia" w:cs="Times New Roman"/>
                <w:sz w:val="21"/>
                <w:szCs w:val="21"/>
                <w:lang w:val="en-US" w:eastAsia="zh-CN"/>
              </w:rPr>
              <w:t>/</w:t>
            </w:r>
            <w:r>
              <w:rPr>
                <w:rFonts w:hint="eastAsia" w:ascii="Times New Roman" w:hAnsi="Times New Roman" w:eastAsia="宋体" w:cs="Times New Roman"/>
                <w:sz w:val="21"/>
                <w:szCs w:val="21"/>
                <w:lang w:eastAsia="zh-CN"/>
              </w:rPr>
              <w:t>职业健康目标</w:t>
            </w:r>
            <w:r>
              <w:rPr>
                <w:rFonts w:hint="eastAsia" w:cs="Times New Roman"/>
                <w:sz w:val="21"/>
                <w:szCs w:val="21"/>
                <w:lang w:eastAsia="zh-CN"/>
              </w:rPr>
              <w:t>指标</w:t>
            </w:r>
            <w:r>
              <w:rPr>
                <w:rFonts w:hint="eastAsia" w:ascii="Times New Roman" w:hAnsi="Times New Roman" w:eastAsia="宋体" w:cs="Times New Roman"/>
                <w:sz w:val="21"/>
                <w:szCs w:val="21"/>
                <w:lang w:eastAsia="zh-CN"/>
              </w:rPr>
              <w:t>管理方案》：</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——环境目标指标：固废分类回收率</w:t>
            </w:r>
            <w:r>
              <w:rPr>
                <w:rFonts w:hint="eastAsia" w:ascii="Times New Roman" w:hAnsi="Times New Roman" w:eastAsia="宋体" w:cs="Times New Roman"/>
                <w:sz w:val="21"/>
                <w:szCs w:val="21"/>
                <w:lang w:val="en-US" w:eastAsia="zh-CN"/>
              </w:rPr>
              <w:t xml:space="preserve">100% </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管理方案：固废定点暂存，集中清运，固体废弃物分类放置区，可回收和不可回收的固体废弃物分类堆放，按分类标准加以划分。废弃防疫物资统一存放丢弃；</w:t>
            </w:r>
          </w:p>
          <w:p>
            <w:pP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进行培训，加强使用和操作管理，减少固废产生。</w:t>
            </w:r>
          </w:p>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费用：</w:t>
            </w:r>
            <w:r>
              <w:rPr>
                <w:rFonts w:hint="eastAsia" w:ascii="Times New Roman" w:hAnsi="Times New Roman" w:eastAsia="宋体" w:cs="Times New Roman"/>
                <w:sz w:val="21"/>
                <w:szCs w:val="21"/>
                <w:lang w:val="en-US" w:eastAsia="zh-CN"/>
              </w:rPr>
              <w:t>1000</w:t>
            </w:r>
            <w:r>
              <w:rPr>
                <w:rFonts w:hint="default" w:ascii="Times New Roman" w:hAnsi="Times New Roman" w:eastAsia="宋体" w:cs="Times New Roman"/>
                <w:sz w:val="21"/>
                <w:szCs w:val="21"/>
                <w:lang w:eastAsia="zh-CN"/>
              </w:rPr>
              <w:t>元，起止时间：</w:t>
            </w:r>
            <w:r>
              <w:rPr>
                <w:rFonts w:hint="eastAsia" w:cs="Times New Roman"/>
                <w:sz w:val="21"/>
                <w:szCs w:val="21"/>
                <w:lang w:eastAsia="zh-CN"/>
              </w:rPr>
              <w:t>长期</w:t>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 xml:space="preserve"> 责任部门：各部门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——安全目标、指标：火灾事故为</w:t>
            </w:r>
            <w:r>
              <w:rPr>
                <w:rFonts w:hint="eastAsia" w:ascii="Times New Roman" w:hAnsi="Times New Roman" w:eastAsia="宋体" w:cs="Times New Roman"/>
                <w:sz w:val="21"/>
                <w:szCs w:val="21"/>
                <w:lang w:val="en-US" w:eastAsia="zh-CN"/>
              </w:rPr>
              <w:t>0</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管理方案：1.加强日常巡视；2.加强设备设施检查管理；3.现场如有动火必须严格按动火手续办理证件，并采取有效防范措施；</w:t>
            </w:r>
            <w:r>
              <w:rPr>
                <w:rFonts w:hint="eastAsia" w:cs="Times New Roman"/>
                <w:sz w:val="21"/>
                <w:szCs w:val="21"/>
                <w:lang w:val="en-US" w:eastAsia="zh-CN"/>
              </w:rPr>
              <w:t>4</w:t>
            </w:r>
            <w:r>
              <w:rPr>
                <w:rFonts w:hint="eastAsia" w:ascii="Times New Roman" w:hAnsi="Times New Roman" w:eastAsia="宋体" w:cs="Times New Roman"/>
                <w:sz w:val="21"/>
                <w:szCs w:val="21"/>
                <w:lang w:eastAsia="zh-CN"/>
              </w:rPr>
              <w:t>进行消防</w:t>
            </w:r>
            <w:r>
              <w:rPr>
                <w:rFonts w:hint="eastAsia" w:cs="Times New Roman"/>
                <w:sz w:val="21"/>
                <w:szCs w:val="21"/>
                <w:lang w:eastAsia="zh-CN"/>
              </w:rPr>
              <w:t>知识培训</w:t>
            </w:r>
            <w:r>
              <w:rPr>
                <w:rFonts w:hint="eastAsia" w:ascii="Times New Roman" w:hAnsi="Times New Roman" w:eastAsia="宋体" w:cs="Times New Roman"/>
                <w:sz w:val="21"/>
                <w:szCs w:val="21"/>
                <w:lang w:eastAsia="zh-CN"/>
              </w:rPr>
              <w:t>，并组织消防演练。费用：</w:t>
            </w:r>
            <w:r>
              <w:rPr>
                <w:rFonts w:hint="eastAsia" w:cs="Times New Roman"/>
                <w:sz w:val="21"/>
                <w:szCs w:val="21"/>
                <w:lang w:val="en-US" w:eastAsia="zh-CN"/>
              </w:rPr>
              <w:t>4</w:t>
            </w:r>
            <w:r>
              <w:rPr>
                <w:rFonts w:hint="eastAsia" w:ascii="Times New Roman" w:hAnsi="Times New Roman" w:eastAsia="宋体" w:cs="Times New Roman"/>
                <w:sz w:val="21"/>
                <w:szCs w:val="21"/>
                <w:lang w:eastAsia="zh-CN"/>
              </w:rPr>
              <w:t xml:space="preserve">000元 </w:t>
            </w:r>
            <w:r>
              <w:rPr>
                <w:rFonts w:hint="default" w:ascii="Times New Roman" w:hAnsi="Times New Roman" w:eastAsia="宋体" w:cs="Times New Roman"/>
                <w:sz w:val="21"/>
                <w:szCs w:val="21"/>
                <w:lang w:eastAsia="zh-CN"/>
              </w:rPr>
              <w:t>起止时间：</w:t>
            </w:r>
            <w:r>
              <w:rPr>
                <w:rFonts w:hint="eastAsia" w:cs="Times New Roman"/>
                <w:sz w:val="21"/>
                <w:szCs w:val="21"/>
                <w:lang w:eastAsia="zh-CN"/>
              </w:rPr>
              <w:t>长期</w:t>
            </w:r>
            <w:r>
              <w:rPr>
                <w:rFonts w:hint="eastAsia" w:cs="Times New Roman"/>
                <w:sz w:val="21"/>
                <w:szCs w:val="21"/>
                <w:lang w:val="en-US" w:eastAsia="zh-CN"/>
              </w:rPr>
              <w:t xml:space="preserve"> </w:t>
            </w:r>
            <w:r>
              <w:rPr>
                <w:rFonts w:hint="eastAsia" w:ascii="Times New Roman" w:hAnsi="Times New Roman" w:eastAsia="宋体" w:cs="Times New Roman"/>
                <w:sz w:val="21"/>
                <w:szCs w:val="21"/>
                <w:lang w:eastAsia="zh-CN"/>
              </w:rPr>
              <w:t xml:space="preserve"> 责任部门：各部门</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每季度组织一次对目标、指标管理方案进行程度、完成情况的考核，</w:t>
            </w:r>
            <w:r>
              <w:rPr>
                <w:rFonts w:hint="eastAsia" w:ascii="Times New Roman" w:hAnsi="Times New Roman" w:eastAsia="宋体" w:cs="Times New Roman"/>
                <w:sz w:val="21"/>
                <w:szCs w:val="21"/>
                <w:lang w:val="en-US" w:eastAsia="zh-CN"/>
              </w:rPr>
              <w:t>2022年第一季度</w:t>
            </w:r>
            <w:r>
              <w:rPr>
                <w:rFonts w:hint="eastAsia" w:ascii="Times New Roman" w:hAnsi="Times New Roman" w:eastAsia="宋体" w:cs="Times New Roman"/>
                <w:sz w:val="21"/>
                <w:szCs w:val="21"/>
                <w:lang w:eastAsia="zh-CN"/>
              </w:rPr>
              <w:t>的目标、指标管理方案完成情况考核，达到了阶段性的目标要求。制定的指标和管理方案基本可行</w:t>
            </w:r>
          </w:p>
        </w:tc>
        <w:tc>
          <w:tcPr>
            <w:tcW w:w="1585" w:type="dxa"/>
          </w:tcPr>
          <w:p>
            <w:pPr>
              <w:rPr>
                <w:rFonts w:hint="eastAsia"/>
                <w:sz w:val="21"/>
                <w:szCs w:val="21"/>
                <w:lang w:val="en-US" w:eastAsia="zh-CN"/>
              </w:rPr>
            </w:pPr>
          </w:p>
          <w:p>
            <w:pPr>
              <w:bidi w:val="0"/>
              <w:rPr>
                <w:rFonts w:hint="eastAsia"/>
                <w:sz w:val="21"/>
                <w:szCs w:val="21"/>
                <w:lang w:val="en-US" w:eastAsia="zh-CN"/>
              </w:rPr>
            </w:pPr>
          </w:p>
          <w:p>
            <w:pPr>
              <w:bidi w:val="0"/>
              <w:ind w:firstLine="500" w:firstLineChars="0"/>
              <w:jc w:val="left"/>
              <w:rPr>
                <w:rFonts w:hint="eastAsia"/>
                <w:sz w:val="21"/>
                <w:szCs w:val="21"/>
                <w:lang w:val="en-US" w:eastAsia="zh-CN"/>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eastAsia="zh-CN"/>
              </w:rPr>
              <w:t>环境因素、危险源识别</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EO6.1.2</w:t>
            </w:r>
          </w:p>
        </w:tc>
        <w:tc>
          <w:tcPr>
            <w:tcW w:w="10004" w:type="dxa"/>
            <w:vAlign w:val="top"/>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●仍执行《环境因素的识别与评价控制程序》、《危险源辩识、风险评价控制程序》，符合标准要求</w:t>
            </w:r>
            <w:r>
              <w:rPr>
                <w:rFonts w:hint="eastAsia" w:cs="Times New Roman"/>
                <w:sz w:val="21"/>
                <w:szCs w:val="21"/>
                <w:lang w:val="en-US" w:eastAsia="zh-CN"/>
              </w:rPr>
              <w:t>。</w:t>
            </w:r>
          </w:p>
          <w:p>
            <w:pP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w:t>
            </w:r>
            <w:r>
              <w:rPr>
                <w:rFonts w:hint="eastAsia" w:ascii="Times New Roman" w:hAnsi="Times New Roman" w:eastAsia="宋体" w:cs="Times New Roman"/>
                <w:sz w:val="21"/>
                <w:szCs w:val="21"/>
                <w:lang w:val="en-US" w:eastAsia="zh-CN"/>
              </w:rPr>
              <w:t>了</w:t>
            </w:r>
            <w:r>
              <w:rPr>
                <w:rFonts w:hint="default" w:ascii="Times New Roman" w:hAnsi="Times New Roman" w:eastAsia="宋体" w:cs="Times New Roman"/>
                <w:sz w:val="21"/>
                <w:szCs w:val="21"/>
                <w:lang w:val="en-US" w:eastAsia="zh-CN"/>
              </w:rPr>
              <w:t>《环境因素</w:t>
            </w:r>
            <w:r>
              <w:rPr>
                <w:rFonts w:hint="eastAsia" w:cs="Times New Roman"/>
                <w:sz w:val="21"/>
                <w:szCs w:val="21"/>
                <w:lang w:val="en-US" w:eastAsia="zh-CN"/>
              </w:rPr>
              <w:t>识别评价表</w:t>
            </w:r>
            <w:r>
              <w:rPr>
                <w:rFonts w:hint="default" w:ascii="Times New Roman" w:hAnsi="Times New Roman" w:eastAsia="宋体" w:cs="Times New Roman"/>
                <w:sz w:val="21"/>
                <w:szCs w:val="21"/>
                <w:lang w:val="en-US" w:eastAsia="zh-CN"/>
              </w:rPr>
              <w:t>》，</w:t>
            </w:r>
            <w:r>
              <w:rPr>
                <w:rFonts w:hint="eastAsia" w:cs="Times New Roman"/>
                <w:sz w:val="21"/>
                <w:szCs w:val="21"/>
                <w:lang w:val="en-US" w:eastAsia="zh-CN"/>
              </w:rPr>
              <w:t>销售部</w:t>
            </w:r>
            <w:r>
              <w:rPr>
                <w:rFonts w:hint="eastAsia" w:ascii="Times New Roman" w:hAnsi="Times New Roman" w:eastAsia="宋体" w:cs="Times New Roman"/>
                <w:sz w:val="21"/>
                <w:szCs w:val="21"/>
                <w:lang w:val="en-US" w:eastAsia="zh-CN"/>
              </w:rPr>
              <w:t>涉及的环境因素</w:t>
            </w:r>
            <w:r>
              <w:rPr>
                <w:rFonts w:hint="eastAsia" w:cs="Times New Roman"/>
                <w:sz w:val="21"/>
                <w:szCs w:val="21"/>
                <w:lang w:val="en-US" w:eastAsia="zh-CN"/>
              </w:rPr>
              <w:t>有办公过程水电能源的消耗，废纸张、废电池、废灯管的废弃，生活污水排放，生活垃圾及废弃防疫物资排放，电线老化引起火灾，废弃灭火器的处理等方面，评价出了重要环境因素，编制了《重要环境因素清单》，其中涉及销售部的有：固废排放，火灾。</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提供了《危险源辨识评价表》，包括办公区域和生产区域，根据活动过程识别了危险源，销售部涉及的危险源有：火灾、触电、楼梯跌倒、上下班路上和出差引起的车辆伤害，新冠病毒感染，车辆卸货物体打击等。评价出了不可接受风险，编制了《不可接受风险清单》，涉及销售部的有：火灾。</w:t>
            </w:r>
          </w:p>
          <w:p>
            <w:pPr>
              <w:rPr>
                <w:rFonts w:hint="eastAsia" w:cs="Times New Roman"/>
                <w:sz w:val="21"/>
                <w:szCs w:val="21"/>
                <w:lang w:val="en-US" w:eastAsia="zh-CN"/>
              </w:rPr>
            </w:pPr>
            <w:r>
              <w:rPr>
                <w:rFonts w:hint="eastAsia" w:cs="Times New Roman"/>
                <w:sz w:val="21"/>
                <w:szCs w:val="21"/>
                <w:lang w:val="en-US" w:eastAsia="zh-CN"/>
              </w:rPr>
              <w:t>根据识别出的重要环境因素和不可接受风险，制定了控制措施，如管理方案，运行控制，应急预案和演练等。</w:t>
            </w:r>
          </w:p>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评价基本准确。</w:t>
            </w:r>
          </w:p>
        </w:tc>
        <w:tc>
          <w:tcPr>
            <w:tcW w:w="1585" w:type="dxa"/>
          </w:tcPr>
          <w:p>
            <w:pPr>
              <w:rPr>
                <w:rFonts w:hint="eastAsia"/>
                <w:sz w:val="21"/>
                <w:szCs w:val="21"/>
                <w:lang w:val="en-US" w:eastAsia="zh-CN"/>
              </w:rPr>
            </w:pPr>
            <w:r>
              <w:rPr>
                <w:rFonts w:hint="eastAsia"/>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895"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顾客沟通</w:t>
            </w:r>
          </w:p>
        </w:tc>
        <w:tc>
          <w:tcPr>
            <w:tcW w:w="1225" w:type="dxa"/>
            <w:vAlign w:val="center"/>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8.2.1</w:t>
            </w:r>
          </w:p>
        </w:tc>
        <w:tc>
          <w:tcPr>
            <w:tcW w:w="10004"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公司通过走访、电话、邮件等方式与顾客交流，主要进行以下沟通：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1、在产品交付中向顾客提供保证产品品质的有关信息。</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t>2、接受顾客问询、询价、合同的处理。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3、根据合同要求进行有关的事宜，对顾客的投诉或意见进行及时处理和答复。</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sz w:val="21"/>
                <w:szCs w:val="21"/>
                <w:lang w:val="en-US" w:eastAsia="zh-CN"/>
              </w:rPr>
              <w:t>到目前为止，未发生顾客不满意及投诉现象。</w:t>
            </w:r>
          </w:p>
        </w:tc>
        <w:tc>
          <w:tcPr>
            <w:tcW w:w="1585" w:type="dxa"/>
          </w:tcPr>
          <w:p>
            <w:pPr>
              <w:rPr>
                <w:rFonts w:hint="eastAsia"/>
                <w:sz w:val="21"/>
                <w:szCs w:val="21"/>
                <w:lang w:val="en-US" w:eastAsia="zh-CN"/>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与产品有关要求的确定</w:t>
            </w:r>
          </w:p>
        </w:tc>
        <w:tc>
          <w:tcPr>
            <w:tcW w:w="1225" w:type="dxa"/>
            <w:vAlign w:val="center"/>
          </w:tcPr>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8.2.2</w:t>
            </w:r>
          </w:p>
        </w:tc>
        <w:tc>
          <w:tcPr>
            <w:tcW w:w="10004" w:type="dxa"/>
            <w:vAlign w:val="center"/>
          </w:tcPr>
          <w:p>
            <w:pPr>
              <w:rPr>
                <w:rFonts w:hint="eastAsia" w:ascii="Times New Roman" w:hAnsi="Times New Roman" w:eastAsia="宋体" w:cs="Times New Roman"/>
                <w:sz w:val="21"/>
                <w:szCs w:val="21"/>
                <w:lang w:val="en-US" w:eastAsia="zh-CN"/>
              </w:rPr>
            </w:pPr>
            <w:r>
              <w:rPr>
                <w:rFonts w:hint="eastAsia"/>
                <w:sz w:val="21"/>
                <w:szCs w:val="21"/>
              </w:rPr>
              <w:sym w:font="Wingdings 2" w:char="F098"/>
            </w:r>
            <w:r>
              <w:rPr>
                <w:rFonts w:hint="eastAsia" w:ascii="Times New Roman" w:hAnsi="Times New Roman" w:eastAsia="宋体" w:cs="Times New Roman"/>
                <w:sz w:val="21"/>
                <w:szCs w:val="21"/>
                <w:lang w:val="en-US" w:eastAsia="zh-CN"/>
              </w:rPr>
              <w:t>查公司产品销售情况</w:t>
            </w:r>
          </w:p>
          <w:p>
            <w:pPr>
              <w:rPr>
                <w:rFonts w:hint="default" w:ascii="Times New Roman" w:hAnsi="Times New Roman" w:eastAsia="宋体" w:cs="Times New Roman"/>
                <w:sz w:val="21"/>
                <w:szCs w:val="21"/>
                <w:lang w:val="en-US" w:eastAsia="zh-CN"/>
              </w:rPr>
            </w:pPr>
            <w:r>
              <w:rPr>
                <w:rFonts w:hint="eastAsia" w:cs="Times New Roman"/>
                <w:sz w:val="21"/>
                <w:szCs w:val="21"/>
                <w:lang w:val="en-US" w:eastAsia="zh-CN"/>
              </w:rPr>
              <w:t>销售部</w:t>
            </w:r>
            <w:r>
              <w:rPr>
                <w:rFonts w:hint="eastAsia" w:ascii="Times New Roman" w:hAnsi="Times New Roman" w:eastAsia="宋体" w:cs="Times New Roman"/>
                <w:sz w:val="21"/>
                <w:szCs w:val="21"/>
                <w:lang w:val="en-US" w:eastAsia="zh-CN"/>
              </w:rPr>
              <w:t>主要负责公司销售，</w:t>
            </w:r>
            <w:r>
              <w:rPr>
                <w:rFonts w:hint="eastAsia" w:cs="Times New Roman"/>
                <w:sz w:val="21"/>
                <w:szCs w:val="21"/>
                <w:lang w:val="en-US" w:eastAsia="zh-CN"/>
              </w:rPr>
              <w:t>底玉莹经理</w:t>
            </w:r>
            <w:r>
              <w:rPr>
                <w:rFonts w:hint="eastAsia" w:ascii="Times New Roman" w:hAnsi="Times New Roman" w:eastAsia="宋体" w:cs="Times New Roman"/>
                <w:sz w:val="21"/>
                <w:szCs w:val="21"/>
                <w:lang w:val="en-US" w:eastAsia="zh-CN"/>
              </w:rPr>
              <w:t>介绍，公司主要通过签订合同方式进行销售。提供了《合同</w:t>
            </w:r>
            <w:r>
              <w:rPr>
                <w:rFonts w:hint="eastAsia" w:cs="Times New Roman"/>
                <w:sz w:val="21"/>
                <w:szCs w:val="21"/>
                <w:lang w:val="en-US" w:eastAsia="zh-CN"/>
              </w:rPr>
              <w:t>登记表</w:t>
            </w: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，销售合同均进行了登记，登记了客户名称，订购产品，订单金额，签订时间，订单编号，评审日期，等内容。</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查公司产品销售合同</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r>
              <w:rPr>
                <w:rFonts w:hint="eastAsia" w:cs="Times New Roman"/>
                <w:sz w:val="21"/>
                <w:szCs w:val="21"/>
                <w:lang w:val="en-US" w:eastAsia="zh-CN"/>
              </w:rPr>
              <w:t>抽</w:t>
            </w:r>
            <w:r>
              <w:rPr>
                <w:rFonts w:hint="eastAsia" w:ascii="Times New Roman" w:hAnsi="Times New Roman" w:eastAsia="宋体" w:cs="Times New Roman"/>
                <w:sz w:val="21"/>
                <w:szCs w:val="21"/>
                <w:lang w:val="en-US" w:eastAsia="zh-CN"/>
              </w:rPr>
              <w:t>合同签订日期为202</w:t>
            </w:r>
            <w:r>
              <w:rPr>
                <w:rFonts w:hint="eastAsia" w:cs="Times New Roman"/>
                <w:sz w:val="21"/>
                <w:szCs w:val="21"/>
                <w:lang w:val="en-US" w:eastAsia="zh-CN"/>
              </w:rPr>
              <w:t>2.4.22</w:t>
            </w:r>
          </w:p>
          <w:p>
            <w:pPr>
              <w:rPr>
                <w:rFonts w:hint="eastAsia" w:cs="Times New Roman"/>
                <w:sz w:val="21"/>
                <w:szCs w:val="21"/>
                <w:lang w:val="en-US" w:eastAsia="zh-CN"/>
              </w:rPr>
            </w:pPr>
            <w:r>
              <w:rPr>
                <w:rFonts w:hint="eastAsia" w:cs="Times New Roman"/>
                <w:sz w:val="21"/>
                <w:szCs w:val="21"/>
                <w:lang w:val="en-US" w:eastAsia="zh-CN"/>
              </w:rPr>
              <w:t>甲</w:t>
            </w:r>
            <w:r>
              <w:rPr>
                <w:rFonts w:hint="eastAsia" w:ascii="Times New Roman" w:hAnsi="Times New Roman" w:eastAsia="宋体" w:cs="Times New Roman"/>
                <w:sz w:val="21"/>
                <w:szCs w:val="21"/>
                <w:lang w:val="en-US" w:eastAsia="zh-CN"/>
              </w:rPr>
              <w:t>方：</w:t>
            </w:r>
            <w:r>
              <w:rPr>
                <w:rFonts w:hint="eastAsia" w:cs="Times New Roman"/>
                <w:sz w:val="21"/>
                <w:szCs w:val="21"/>
                <w:lang w:val="en-US" w:eastAsia="zh-CN"/>
              </w:rPr>
              <w:t>平泉市卧龙镇金腾机械设备经销处</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乙</w:t>
            </w:r>
            <w:r>
              <w:rPr>
                <w:rFonts w:hint="eastAsia" w:ascii="Times New Roman" w:hAnsi="Times New Roman" w:eastAsia="宋体" w:cs="Times New Roman"/>
                <w:sz w:val="21"/>
                <w:szCs w:val="21"/>
                <w:lang w:val="en-US" w:eastAsia="zh-CN"/>
              </w:rPr>
              <w:t>方：</w:t>
            </w:r>
            <w:r>
              <w:rPr>
                <w:rFonts w:hint="eastAsia" w:cs="Times New Roman"/>
                <w:sz w:val="21"/>
                <w:szCs w:val="21"/>
                <w:lang w:val="en-US" w:eastAsia="zh-CN"/>
              </w:rPr>
              <w:t>河北沈吉建筑材料有限公司</w:t>
            </w:r>
          </w:p>
          <w:p>
            <w:pPr>
              <w:rPr>
                <w:rFonts w:hint="eastAsia" w:ascii="Times New Roman" w:hAnsi="Times New Roman" w:eastAsia="宋体" w:cs="Times New Roman"/>
                <w:sz w:val="21"/>
                <w:szCs w:val="21"/>
                <w:lang w:val="en-US" w:eastAsia="zh-CN"/>
              </w:rPr>
            </w:pPr>
            <w:r>
              <w:rPr>
                <w:rFonts w:hint="eastAsia" w:cs="Times New Roman"/>
                <w:sz w:val="21"/>
                <w:szCs w:val="21"/>
                <w:lang w:val="en-US" w:eastAsia="zh-CN"/>
              </w:rPr>
              <w:t>订购</w:t>
            </w:r>
            <w:r>
              <w:rPr>
                <w:rFonts w:hint="eastAsia" w:ascii="Times New Roman" w:hAnsi="Times New Roman" w:eastAsia="宋体" w:cs="Times New Roman"/>
                <w:sz w:val="21"/>
                <w:szCs w:val="21"/>
                <w:lang w:val="en-US" w:eastAsia="zh-CN"/>
              </w:rPr>
              <w:t>产品名称：</w:t>
            </w:r>
            <w:r>
              <w:rPr>
                <w:rFonts w:hint="eastAsia" w:cs="Times New Roman"/>
                <w:sz w:val="21"/>
                <w:szCs w:val="21"/>
                <w:lang w:val="en-US" w:eastAsia="zh-CN"/>
              </w:rPr>
              <w:t>锚杆及配件</w:t>
            </w:r>
          </w:p>
          <w:p>
            <w:pPr>
              <w:rPr>
                <w:rFonts w:hint="eastAsia" w:cs="Times New Roman"/>
                <w:sz w:val="21"/>
                <w:szCs w:val="21"/>
                <w:lang w:val="en-US" w:eastAsia="zh-CN"/>
              </w:rPr>
            </w:pPr>
            <w:r>
              <w:rPr>
                <w:rFonts w:hint="eastAsia" w:cs="Times New Roman"/>
                <w:sz w:val="21"/>
                <w:szCs w:val="21"/>
                <w:lang w:val="en-US" w:eastAsia="zh-CN"/>
              </w:rPr>
              <w:t>具体规格型号和数量有货物明细，</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技术要求：按照</w:t>
            </w:r>
            <w:r>
              <w:rPr>
                <w:rFonts w:hint="eastAsia" w:cs="Times New Roman"/>
                <w:sz w:val="21"/>
                <w:szCs w:val="21"/>
                <w:lang w:val="en-US" w:eastAsia="zh-CN"/>
              </w:rPr>
              <w:t>客户的技术</w:t>
            </w:r>
            <w:r>
              <w:rPr>
                <w:rFonts w:hint="eastAsia" w:ascii="Times New Roman" w:hAnsi="Times New Roman" w:eastAsia="宋体" w:cs="Times New Roman"/>
                <w:sz w:val="21"/>
                <w:szCs w:val="21"/>
                <w:lang w:val="en-US" w:eastAsia="zh-CN"/>
              </w:rPr>
              <w:t>要求进行生产，合同另有交货期限，</w:t>
            </w:r>
            <w:r>
              <w:rPr>
                <w:rFonts w:hint="eastAsia" w:cs="Times New Roman"/>
                <w:sz w:val="21"/>
                <w:szCs w:val="21"/>
                <w:lang w:val="en-US" w:eastAsia="zh-CN"/>
              </w:rPr>
              <w:t>交货地点，付款方式，</w:t>
            </w:r>
            <w:r>
              <w:rPr>
                <w:rFonts w:hint="eastAsia" w:ascii="Times New Roman" w:hAnsi="Times New Roman" w:eastAsia="宋体" w:cs="Times New Roman"/>
                <w:sz w:val="21"/>
                <w:szCs w:val="21"/>
                <w:lang w:val="en-US" w:eastAsia="zh-CN"/>
              </w:rPr>
              <w:t>质保期限，交货方式等</w:t>
            </w:r>
            <w:r>
              <w:rPr>
                <w:rFonts w:hint="eastAsia" w:cs="Times New Roman"/>
                <w:sz w:val="21"/>
                <w:szCs w:val="21"/>
                <w:lang w:val="en-US" w:eastAsia="zh-CN"/>
              </w:rPr>
              <w:t>内容</w:t>
            </w:r>
            <w:r>
              <w:rPr>
                <w:rFonts w:hint="eastAsia" w:ascii="Times New Roman" w:hAnsi="Times New Roman" w:eastAsia="宋体" w:cs="Times New Roman"/>
                <w:sz w:val="21"/>
                <w:szCs w:val="21"/>
                <w:lang w:val="en-US" w:eastAsia="zh-CN"/>
              </w:rPr>
              <w:t>，合同有双方签字</w:t>
            </w:r>
            <w:r>
              <w:rPr>
                <w:rFonts w:hint="eastAsia" w:cs="Times New Roman"/>
                <w:sz w:val="21"/>
                <w:szCs w:val="21"/>
                <w:lang w:val="en-US" w:eastAsia="zh-CN"/>
              </w:rPr>
              <w:t>盖章</w:t>
            </w:r>
            <w:r>
              <w:rPr>
                <w:rFonts w:hint="eastAsia" w:ascii="Times New Roman" w:hAnsi="Times New Roman" w:eastAsia="宋体" w:cs="Times New Roman"/>
                <w:sz w:val="21"/>
                <w:szCs w:val="21"/>
                <w:lang w:val="en-US" w:eastAsia="zh-CN"/>
              </w:rPr>
              <w:t>。</w:t>
            </w:r>
          </w:p>
          <w:p>
            <w:pPr>
              <w:pStyle w:val="14"/>
              <w:ind w:left="0" w:leftChars="0" w:firstLine="0"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——抽合同签订日期为202</w:t>
            </w:r>
            <w:r>
              <w:rPr>
                <w:rFonts w:hint="eastAsia" w:cs="Times New Roman"/>
                <w:sz w:val="21"/>
                <w:szCs w:val="21"/>
                <w:lang w:val="en-US" w:eastAsia="zh-CN"/>
              </w:rPr>
              <w:t>2.3.25</w:t>
            </w:r>
          </w:p>
          <w:p>
            <w:pPr>
              <w:pStyle w:val="14"/>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甲方：北戴河区商达建材经销部</w:t>
            </w:r>
          </w:p>
          <w:p>
            <w:pPr>
              <w:pStyle w:val="14"/>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乙方：河北沈吉建筑材料有限公司</w:t>
            </w:r>
          </w:p>
          <w:p>
            <w:pPr>
              <w:pStyle w:val="14"/>
              <w:ind w:left="0" w:leftChars="0" w:firstLine="0" w:firstLineChars="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订购产品名称：</w:t>
            </w:r>
            <w:r>
              <w:rPr>
                <w:rFonts w:hint="eastAsia" w:cs="Times New Roman"/>
                <w:sz w:val="21"/>
                <w:szCs w:val="21"/>
                <w:lang w:val="en-US" w:eastAsia="zh-CN"/>
              </w:rPr>
              <w:t>锚具，不同型号共10800个，合同有具体数量规格型号及技术要求</w:t>
            </w:r>
          </w:p>
          <w:p>
            <w:pPr>
              <w:pStyle w:val="14"/>
              <w:ind w:left="0" w:leftChars="0" w:firstLine="0" w:firstLineChars="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技术要求：按甲方</w:t>
            </w:r>
            <w:r>
              <w:rPr>
                <w:rFonts w:hint="eastAsia" w:cs="Times New Roman"/>
                <w:sz w:val="21"/>
                <w:szCs w:val="21"/>
                <w:lang w:val="en-US" w:eastAsia="zh-CN"/>
              </w:rPr>
              <w:t>尺寸</w:t>
            </w:r>
            <w:r>
              <w:rPr>
                <w:rFonts w:hint="eastAsia" w:ascii="Times New Roman" w:hAnsi="Times New Roman" w:eastAsia="宋体" w:cs="Times New Roman"/>
                <w:sz w:val="21"/>
                <w:szCs w:val="21"/>
                <w:lang w:val="en-US" w:eastAsia="zh-CN"/>
              </w:rPr>
              <w:t>要求，合同约定了交货期限，付款方式，质保期限，交货方式，违约责任等等内容，合同有双方签字盖章。</w:t>
            </w:r>
          </w:p>
          <w:p>
            <w:pP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另</w:t>
            </w:r>
            <w:r>
              <w:rPr>
                <w:rFonts w:hint="eastAsia" w:cs="Times New Roman"/>
                <w:sz w:val="21"/>
                <w:szCs w:val="21"/>
                <w:lang w:val="en-US" w:eastAsia="zh-CN"/>
              </w:rPr>
              <w:t>查其他</w:t>
            </w:r>
            <w:r>
              <w:rPr>
                <w:rFonts w:hint="eastAsia" w:ascii="Times New Roman" w:hAnsi="Times New Roman" w:eastAsia="宋体" w:cs="Times New Roman"/>
                <w:sz w:val="21"/>
                <w:szCs w:val="21"/>
                <w:lang w:val="en-US" w:eastAsia="zh-CN"/>
              </w:rPr>
              <w:t>销售合同，合同明确了订购产品名称、规格型号、数量、技术要求、交货期限，质保期限，交货方式违约责任等，均有双方改章。</w:t>
            </w:r>
          </w:p>
          <w:p>
            <w:pPr>
              <w:rPr>
                <w:rFonts w:hint="eastAsia" w:ascii="Times New Roman" w:hAnsi="Times New Roman" w:eastAsia="宋体" w:cs="Times New Roman"/>
                <w:bCs/>
                <w:spacing w:val="10"/>
                <w:kern w:val="2"/>
                <w:sz w:val="21"/>
                <w:szCs w:val="21"/>
                <w:lang w:val="en-US" w:eastAsia="zh-CN" w:bidi="ar-SA"/>
              </w:rPr>
            </w:pPr>
            <w:r>
              <w:rPr>
                <w:rFonts w:hint="eastAsia" w:ascii="Times New Roman" w:hAnsi="Times New Roman" w:eastAsia="宋体" w:cs="Times New Roman"/>
                <w:sz w:val="21"/>
                <w:szCs w:val="21"/>
                <w:lang w:val="en-US" w:eastAsia="zh-CN"/>
              </w:rPr>
              <w:t>以上产品订单均为公司成熟产品。均经过客户确认。</w:t>
            </w:r>
          </w:p>
        </w:tc>
        <w:tc>
          <w:tcPr>
            <w:tcW w:w="1585" w:type="dxa"/>
          </w:tcPr>
          <w:p>
            <w:pPr>
              <w:rPr>
                <w:rFonts w:hint="eastAsia"/>
                <w:sz w:val="21"/>
                <w:szCs w:val="21"/>
                <w:lang w:val="en-US" w:eastAsia="zh-CN"/>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产品有关要求的评审及变更</w:t>
            </w:r>
          </w:p>
        </w:tc>
        <w:tc>
          <w:tcPr>
            <w:tcW w:w="1225" w:type="dxa"/>
            <w:vAlign w:val="center"/>
          </w:tcPr>
          <w:p>
            <w:pPr>
              <w:rPr>
                <w:rFonts w:hint="eastAsia" w:ascii="Times New Roman" w:hAnsi="Times New Roman" w:eastAsia="宋体" w:cs="Times New Roman"/>
                <w:sz w:val="21"/>
                <w:szCs w:val="21"/>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8.2.3</w:t>
            </w:r>
          </w:p>
          <w:p>
            <w:pP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Q</w:t>
            </w:r>
            <w:r>
              <w:rPr>
                <w:rFonts w:hint="eastAsia" w:ascii="Times New Roman" w:hAnsi="Times New Roman" w:eastAsia="宋体" w:cs="Times New Roman"/>
                <w:sz w:val="21"/>
                <w:szCs w:val="21"/>
              </w:rPr>
              <w:t>8.2.4</w:t>
            </w:r>
          </w:p>
        </w:tc>
        <w:tc>
          <w:tcPr>
            <w:tcW w:w="10004" w:type="dxa"/>
            <w:vAlign w:val="center"/>
          </w:tcPr>
          <w:p>
            <w:pPr>
              <w:pStyle w:val="14"/>
              <w:ind w:left="0" w:leftChars="0" w:firstLine="0" w:firstLineChars="0"/>
              <w:rPr>
                <w:rFonts w:hint="eastAsia" w:cs="Times New Roman"/>
                <w:sz w:val="21"/>
                <w:szCs w:val="21"/>
                <w:lang w:val="en-US" w:eastAsia="zh-CN"/>
              </w:rPr>
            </w:pPr>
            <w:r>
              <w:rPr>
                <w:rFonts w:hint="eastAsia" w:cs="Times New Roman"/>
                <w:sz w:val="21"/>
                <w:szCs w:val="21"/>
                <w:lang w:val="en-US" w:eastAsia="zh-CN"/>
              </w:rPr>
              <w:t>查上述合同的评审记录，提供《合同评审表》</w:t>
            </w:r>
          </w:p>
          <w:p>
            <w:pPr>
              <w:pStyle w:val="14"/>
              <w:ind w:left="0" w:leftChars="0" w:firstLine="0" w:firstLineChars="0"/>
              <w:rPr>
                <w:rFonts w:hint="default" w:cs="Times New Roman"/>
                <w:sz w:val="21"/>
                <w:szCs w:val="21"/>
                <w:lang w:val="en-US" w:eastAsia="zh-CN"/>
              </w:rPr>
            </w:pPr>
            <w:r>
              <w:rPr>
                <w:rFonts w:hint="eastAsia" w:cs="Times New Roman"/>
                <w:sz w:val="21"/>
                <w:szCs w:val="21"/>
                <w:lang w:val="en-US" w:eastAsia="zh-CN"/>
              </w:rPr>
              <w:t>评审日期2022.4.21/2022.3.24</w:t>
            </w:r>
          </w:p>
          <w:p>
            <w:pPr>
              <w:pStyle w:val="14"/>
              <w:ind w:left="0" w:leftChars="0" w:firstLine="0" w:firstLineChars="0"/>
              <w:rPr>
                <w:rFonts w:hint="eastAsia" w:cs="Times New Roman"/>
                <w:sz w:val="21"/>
                <w:szCs w:val="21"/>
                <w:lang w:val="en-US" w:eastAsia="zh-CN"/>
              </w:rPr>
            </w:pPr>
            <w:r>
              <w:rPr>
                <w:rFonts w:hint="eastAsia" w:cs="Times New Roman"/>
                <w:sz w:val="21"/>
                <w:szCs w:val="21"/>
                <w:lang w:val="en-US" w:eastAsia="zh-CN"/>
              </w:rPr>
              <w:t>评审在合同签订之前进行。符合要求。</w:t>
            </w:r>
          </w:p>
          <w:p>
            <w:pPr>
              <w:pStyle w:val="14"/>
              <w:ind w:left="0" w:leftChars="0" w:firstLine="0" w:firstLineChars="0"/>
              <w:rPr>
                <w:rFonts w:hint="eastAsia" w:cs="Times New Roman"/>
                <w:sz w:val="21"/>
                <w:szCs w:val="21"/>
                <w:lang w:val="en-US" w:eastAsia="zh-CN"/>
              </w:rPr>
            </w:pPr>
            <w:r>
              <w:rPr>
                <w:rFonts w:hint="eastAsia" w:cs="Times New Roman"/>
                <w:sz w:val="21"/>
                <w:szCs w:val="21"/>
                <w:lang w:val="en-US" w:eastAsia="zh-CN"/>
              </w:rPr>
              <w:t>评审内容包括合同风险、条款合规性、交货能力、交货方式、付款期限、质量保证、价格。</w:t>
            </w:r>
          </w:p>
          <w:p>
            <w:pPr>
              <w:pStyle w:val="14"/>
              <w:ind w:left="0" w:leftChars="0" w:firstLine="0" w:firstLineChars="0"/>
              <w:rPr>
                <w:rFonts w:hint="eastAsia" w:cs="Times New Roman"/>
                <w:sz w:val="21"/>
                <w:szCs w:val="21"/>
                <w:lang w:val="en-US" w:eastAsia="zh-CN"/>
              </w:rPr>
            </w:pPr>
            <w:r>
              <w:rPr>
                <w:rFonts w:hint="eastAsia" w:cs="Times New Roman"/>
                <w:sz w:val="21"/>
                <w:szCs w:val="21"/>
                <w:lang w:val="en-US" w:eastAsia="zh-CN"/>
              </w:rPr>
              <w:t>评审结果：该订单/合同内容，可满足顾客要求，同意签订后尽快交付顾客。</w:t>
            </w:r>
          </w:p>
          <w:p>
            <w:pPr>
              <w:pStyle w:val="14"/>
              <w:ind w:left="0" w:leftChars="0" w:firstLine="0" w:firstLineChars="0"/>
              <w:rPr>
                <w:rFonts w:hint="eastAsia" w:cs="Times New Roman"/>
                <w:sz w:val="21"/>
                <w:szCs w:val="21"/>
                <w:lang w:val="en-US" w:eastAsia="zh-CN"/>
              </w:rPr>
            </w:pPr>
            <w:r>
              <w:rPr>
                <w:rFonts w:hint="eastAsia" w:cs="Times New Roman"/>
                <w:sz w:val="21"/>
                <w:szCs w:val="21"/>
                <w:lang w:val="en-US" w:eastAsia="zh-CN"/>
              </w:rPr>
              <w:t>另查其他日期的销售合同十余份，合同均进行了书面或口头评审。</w:t>
            </w:r>
          </w:p>
          <w:p>
            <w:pPr>
              <w:pStyle w:val="14"/>
              <w:ind w:left="0" w:leftChars="0" w:firstLine="0" w:firstLineChars="0"/>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公司目前暂无合同更改情况。</w:t>
            </w:r>
          </w:p>
        </w:tc>
        <w:tc>
          <w:tcPr>
            <w:tcW w:w="1585" w:type="dxa"/>
          </w:tcPr>
          <w:p>
            <w:pPr>
              <w:rPr>
                <w:rFonts w:hint="eastAsia"/>
                <w:sz w:val="21"/>
                <w:szCs w:val="21"/>
                <w:lang w:val="en-US" w:eastAsia="zh-CN"/>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95" w:type="dxa"/>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rPr>
              <w:t>外部提供的过程、产品和服务的控制</w:t>
            </w:r>
          </w:p>
        </w:tc>
        <w:tc>
          <w:tcPr>
            <w:tcW w:w="1225" w:type="dxa"/>
            <w:vAlign w:val="top"/>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Q8.4</w:t>
            </w:r>
          </w:p>
        </w:tc>
        <w:tc>
          <w:tcPr>
            <w:tcW w:w="10004" w:type="dxa"/>
            <w:vAlign w:val="top"/>
          </w:tcPr>
          <w:p>
            <w:pPr>
              <w:spacing w:line="380" w:lineRule="exac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企业</w:t>
            </w:r>
            <w:r>
              <w:rPr>
                <w:rFonts w:hint="eastAsia" w:ascii="Times New Roman" w:hAnsi="Times New Roman" w:eastAsia="宋体" w:cs="Times New Roman"/>
                <w:sz w:val="21"/>
                <w:szCs w:val="21"/>
              </w:rPr>
              <w:t>编制了《</w:t>
            </w:r>
            <w:r>
              <w:rPr>
                <w:rFonts w:hint="eastAsia" w:ascii="Times New Roman" w:hAnsi="Times New Roman" w:eastAsia="宋体" w:cs="Times New Roman"/>
                <w:sz w:val="21"/>
                <w:szCs w:val="21"/>
                <w:lang w:eastAsia="zh-CN"/>
              </w:rPr>
              <w:t>采购</w:t>
            </w:r>
            <w:r>
              <w:rPr>
                <w:rFonts w:hint="eastAsia" w:ascii="Times New Roman" w:hAnsi="Times New Roman" w:eastAsia="宋体" w:cs="Times New Roman"/>
                <w:sz w:val="21"/>
                <w:szCs w:val="21"/>
              </w:rPr>
              <w:t>控制程序》，</w:t>
            </w:r>
            <w:r>
              <w:rPr>
                <w:rFonts w:hint="eastAsia" w:cs="Times New Roman"/>
                <w:sz w:val="21"/>
                <w:szCs w:val="21"/>
                <w:lang w:eastAsia="zh-CN"/>
              </w:rPr>
              <w:t>体系变更后，销售部</w:t>
            </w:r>
            <w:r>
              <w:rPr>
                <w:rFonts w:hint="eastAsia" w:ascii="Times New Roman" w:hAnsi="Times New Roman" w:eastAsia="宋体" w:cs="Times New Roman"/>
                <w:sz w:val="21"/>
                <w:szCs w:val="21"/>
                <w:lang w:eastAsia="zh-CN"/>
              </w:rPr>
              <w:t>对本公司生产所需物资的采购</w:t>
            </w:r>
            <w:r>
              <w:rPr>
                <w:rFonts w:hint="eastAsia" w:cs="Times New Roman"/>
                <w:sz w:val="21"/>
                <w:szCs w:val="21"/>
                <w:lang w:eastAsia="zh-CN"/>
              </w:rPr>
              <w:t>工作</w:t>
            </w:r>
            <w:r>
              <w:rPr>
                <w:rFonts w:hint="eastAsia" w:ascii="Times New Roman" w:hAnsi="Times New Roman" w:eastAsia="宋体" w:cs="Times New Roman"/>
                <w:sz w:val="21"/>
                <w:szCs w:val="21"/>
                <w:lang w:eastAsia="zh-CN"/>
              </w:rPr>
              <w:t>。程序规定了由</w:t>
            </w:r>
            <w:r>
              <w:rPr>
                <w:rFonts w:hint="eastAsia" w:cs="Times New Roman"/>
                <w:sz w:val="21"/>
                <w:szCs w:val="21"/>
                <w:lang w:eastAsia="zh-CN"/>
              </w:rPr>
              <w:t>销售部</w:t>
            </w:r>
            <w:r>
              <w:rPr>
                <w:rFonts w:hint="eastAsia" w:ascii="Times New Roman" w:hAnsi="Times New Roman" w:eastAsia="宋体" w:cs="Times New Roman"/>
                <w:sz w:val="21"/>
                <w:szCs w:val="21"/>
                <w:lang w:eastAsia="zh-CN"/>
              </w:rPr>
              <w:t>对外部供方进行评价并建立《合格供方</w:t>
            </w:r>
            <w:r>
              <w:rPr>
                <w:rFonts w:hint="eastAsia" w:cs="Times New Roman"/>
                <w:sz w:val="21"/>
                <w:szCs w:val="21"/>
                <w:lang w:eastAsia="zh-CN"/>
              </w:rPr>
              <w:t>名录</w:t>
            </w:r>
            <w:r>
              <w:rPr>
                <w:rFonts w:hint="eastAsia" w:ascii="Times New Roman" w:hAnsi="Times New Roman" w:eastAsia="宋体" w:cs="Times New Roman"/>
                <w:sz w:val="21"/>
                <w:szCs w:val="21"/>
                <w:lang w:eastAsia="zh-CN"/>
              </w:rPr>
              <w:t>》，根据销售</w:t>
            </w:r>
            <w:r>
              <w:rPr>
                <w:rFonts w:hint="eastAsia" w:cs="Times New Roman"/>
                <w:sz w:val="21"/>
                <w:szCs w:val="21"/>
                <w:lang w:eastAsia="zh-CN"/>
              </w:rPr>
              <w:t>合同</w:t>
            </w:r>
            <w:r>
              <w:rPr>
                <w:rFonts w:hint="eastAsia" w:ascii="Times New Roman" w:hAnsi="Times New Roman" w:eastAsia="宋体" w:cs="Times New Roman"/>
                <w:sz w:val="21"/>
                <w:szCs w:val="21"/>
                <w:lang w:eastAsia="zh-CN"/>
              </w:rPr>
              <w:t>制定采购计划，</w:t>
            </w:r>
            <w:r>
              <w:rPr>
                <w:rFonts w:hint="eastAsia" w:cs="Times New Roman"/>
                <w:sz w:val="21"/>
                <w:szCs w:val="21"/>
                <w:lang w:eastAsia="zh-CN"/>
              </w:rPr>
              <w:t>销售部主要</w:t>
            </w:r>
            <w:r>
              <w:rPr>
                <w:rFonts w:hint="eastAsia" w:ascii="Times New Roman" w:hAnsi="Times New Roman" w:eastAsia="宋体" w:cs="Times New Roman"/>
                <w:sz w:val="21"/>
                <w:szCs w:val="21"/>
              </w:rPr>
              <w:t>负责</w:t>
            </w:r>
            <w:r>
              <w:rPr>
                <w:rFonts w:hint="eastAsia" w:cs="Times New Roman"/>
                <w:sz w:val="21"/>
                <w:szCs w:val="21"/>
                <w:lang w:eastAsia="zh-CN"/>
              </w:rPr>
              <w:t>成品</w:t>
            </w:r>
            <w:r>
              <w:rPr>
                <w:rFonts w:hint="eastAsia" w:ascii="Times New Roman" w:hAnsi="Times New Roman" w:eastAsia="宋体" w:cs="Times New Roman"/>
                <w:sz w:val="21"/>
                <w:szCs w:val="21"/>
              </w:rPr>
              <w:t>的进货检</w:t>
            </w:r>
            <w:r>
              <w:rPr>
                <w:rFonts w:hint="eastAsia" w:cs="Times New Roman"/>
                <w:sz w:val="21"/>
                <w:szCs w:val="21"/>
                <w:lang w:eastAsia="zh-CN"/>
              </w:rPr>
              <w:t>验</w:t>
            </w:r>
            <w:r>
              <w:rPr>
                <w:rFonts w:hint="eastAsia" w:ascii="Times New Roman" w:hAnsi="Times New Roman" w:eastAsia="宋体" w:cs="Times New Roman"/>
                <w:sz w:val="21"/>
                <w:szCs w:val="21"/>
                <w:lang w:eastAsia="zh-CN"/>
              </w:rPr>
              <w:t>。</w:t>
            </w:r>
            <w:r>
              <w:rPr>
                <w:rFonts w:hint="eastAsia" w:cs="Times New Roman"/>
                <w:sz w:val="21"/>
                <w:szCs w:val="21"/>
                <w:lang w:eastAsia="zh-CN"/>
              </w:rPr>
              <w:t>销售部</w:t>
            </w:r>
            <w:r>
              <w:rPr>
                <w:rFonts w:hint="eastAsia" w:eastAsia="宋体" w:cs="Times New Roman"/>
                <w:sz w:val="21"/>
                <w:szCs w:val="21"/>
                <w:lang w:eastAsia="zh-CN"/>
              </w:rPr>
              <w:t>负责</w:t>
            </w:r>
            <w:r>
              <w:rPr>
                <w:rFonts w:hint="eastAsia" w:ascii="Times New Roman" w:hAnsi="Times New Roman" w:eastAsia="宋体" w:cs="Times New Roman"/>
                <w:sz w:val="21"/>
                <w:szCs w:val="21"/>
              </w:rPr>
              <w:t>监督产品的外部供方的环境行为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负责与可能产生重要环境因素和危险源的物资外部供方签订环保和职业健康安全协议。</w:t>
            </w:r>
          </w:p>
          <w:p>
            <w:pPr>
              <w:rPr>
                <w:rFonts w:hint="eastAsia" w:ascii="Times New Roman" w:hAnsi="Times New Roman" w:eastAsia="宋体" w:cs="Times New Roman"/>
                <w:sz w:val="21"/>
                <w:szCs w:val="21"/>
              </w:rPr>
            </w:pPr>
            <w:r>
              <w:rPr>
                <w:rFonts w:hint="eastAsia" w:eastAsia="宋体" w:cs="Times New Roman"/>
                <w:sz w:val="21"/>
                <w:szCs w:val="21"/>
                <w:lang w:eastAsia="zh-CN"/>
              </w:rPr>
              <w:t>查见</w:t>
            </w:r>
            <w:r>
              <w:rPr>
                <w:rFonts w:hint="eastAsia" w:ascii="Times New Roman" w:hAnsi="Times New Roman" w:eastAsia="宋体" w:cs="Times New Roman"/>
                <w:sz w:val="21"/>
                <w:szCs w:val="21"/>
              </w:rPr>
              <w:t>《合格供方名</w:t>
            </w:r>
            <w:r>
              <w:rPr>
                <w:rFonts w:hint="eastAsia" w:cs="Times New Roman"/>
                <w:sz w:val="21"/>
                <w:szCs w:val="21"/>
                <w:lang w:eastAsia="zh-CN"/>
              </w:rPr>
              <w:t>录</w:t>
            </w:r>
            <w:r>
              <w:rPr>
                <w:rFonts w:hint="eastAsia" w:ascii="Times New Roman" w:hAnsi="Times New Roman" w:eastAsia="宋体" w:cs="Times New Roman"/>
                <w:sz w:val="21"/>
                <w:szCs w:val="21"/>
              </w:rPr>
              <w:t>》</w:t>
            </w:r>
          </w:p>
          <w:p>
            <w:pPr>
              <w:pStyle w:val="6"/>
              <w:rPr>
                <w:rFonts w:hint="default" w:eastAsia="宋体"/>
                <w:sz w:val="21"/>
                <w:szCs w:val="21"/>
                <w:lang w:val="en-US" w:eastAsia="zh-CN"/>
              </w:rPr>
            </w:pPr>
            <w:r>
              <w:rPr>
                <w:rFonts w:hint="eastAsia" w:eastAsia="宋体" w:cs="Times New Roman"/>
                <w:sz w:val="21"/>
                <w:szCs w:val="21"/>
                <w:lang w:eastAsia="zh-CN"/>
              </w:rPr>
              <w:t>供方名称</w:t>
            </w:r>
            <w:r>
              <w:rPr>
                <w:rFonts w:hint="eastAsia" w:eastAsia="宋体" w:cs="Times New Roman"/>
                <w:sz w:val="21"/>
                <w:szCs w:val="21"/>
                <w:lang w:val="en-US" w:eastAsia="zh-CN"/>
              </w:rPr>
              <w:t xml:space="preserve">                    </w:t>
            </w:r>
            <w:r>
              <w:rPr>
                <w:rFonts w:hint="eastAsia" w:cs="Times New Roman"/>
                <w:sz w:val="21"/>
                <w:szCs w:val="21"/>
                <w:lang w:val="en-US" w:eastAsia="zh-CN"/>
              </w:rPr>
              <w:t xml:space="preserve">       </w:t>
            </w:r>
            <w:r>
              <w:rPr>
                <w:rFonts w:hint="eastAsia" w:eastAsia="宋体" w:cs="Times New Roman"/>
                <w:sz w:val="21"/>
                <w:szCs w:val="21"/>
                <w:lang w:val="en-US" w:eastAsia="zh-CN"/>
              </w:rPr>
              <w:t>提供产品</w:t>
            </w:r>
          </w:p>
          <w:p>
            <w:pPr>
              <w:rPr>
                <w:rFonts w:hint="eastAsia" w:cs="Times New Roman"/>
                <w:sz w:val="21"/>
                <w:szCs w:val="21"/>
                <w:lang w:eastAsia="zh-CN"/>
              </w:rPr>
            </w:pPr>
            <w:r>
              <w:rPr>
                <w:rFonts w:hint="eastAsia" w:cs="Times New Roman"/>
                <w:sz w:val="21"/>
                <w:szCs w:val="21"/>
                <w:lang w:eastAsia="zh-CN"/>
              </w:rPr>
              <w:t>聊城玖诺钢管有限公司</w:t>
            </w:r>
            <w:r>
              <w:rPr>
                <w:rFonts w:hint="eastAsia" w:cs="Times New Roman"/>
                <w:sz w:val="21"/>
                <w:szCs w:val="21"/>
                <w:lang w:eastAsia="zh-CN"/>
              </w:rPr>
              <w:tab/>
            </w:r>
            <w:r>
              <w:rPr>
                <w:rFonts w:hint="eastAsia" w:cs="Times New Roman"/>
                <w:sz w:val="21"/>
                <w:szCs w:val="21"/>
                <w:lang w:val="en-US" w:eastAsia="zh-CN"/>
              </w:rPr>
              <w:t xml:space="preserve">           </w:t>
            </w:r>
            <w:r>
              <w:rPr>
                <w:rFonts w:hint="eastAsia" w:cs="Times New Roman"/>
                <w:sz w:val="21"/>
                <w:szCs w:val="21"/>
                <w:lang w:eastAsia="zh-CN"/>
              </w:rPr>
              <w:t>无缝精密管</w:t>
            </w:r>
          </w:p>
          <w:p>
            <w:pPr>
              <w:rPr>
                <w:rFonts w:hint="eastAsia" w:cs="Times New Roman"/>
                <w:sz w:val="21"/>
                <w:szCs w:val="21"/>
                <w:lang w:eastAsia="zh-CN"/>
              </w:rPr>
            </w:pPr>
            <w:r>
              <w:rPr>
                <w:rFonts w:hint="eastAsia" w:cs="Times New Roman"/>
                <w:sz w:val="21"/>
                <w:szCs w:val="21"/>
                <w:lang w:eastAsia="zh-CN"/>
              </w:rPr>
              <w:t>山东聊城建亿工程材料有限公司</w:t>
            </w:r>
            <w:r>
              <w:rPr>
                <w:rFonts w:hint="eastAsia" w:cs="Times New Roman"/>
                <w:sz w:val="21"/>
                <w:szCs w:val="21"/>
                <w:lang w:eastAsia="zh-CN"/>
              </w:rPr>
              <w:tab/>
            </w:r>
            <w:r>
              <w:rPr>
                <w:rFonts w:hint="eastAsia" w:cs="Times New Roman"/>
                <w:sz w:val="21"/>
                <w:szCs w:val="21"/>
                <w:lang w:eastAsia="zh-CN"/>
              </w:rPr>
              <w:t>锚杆、连接套</w:t>
            </w:r>
          </w:p>
          <w:p>
            <w:pPr>
              <w:rPr>
                <w:rFonts w:hint="eastAsia" w:cs="Times New Roman"/>
                <w:sz w:val="21"/>
                <w:szCs w:val="21"/>
                <w:lang w:eastAsia="zh-CN"/>
              </w:rPr>
            </w:pPr>
            <w:r>
              <w:rPr>
                <w:rFonts w:hint="eastAsia" w:cs="Times New Roman"/>
                <w:sz w:val="21"/>
                <w:szCs w:val="21"/>
                <w:lang w:eastAsia="zh-CN"/>
              </w:rPr>
              <w:t>河北同贤紧固件有限公司</w:t>
            </w:r>
            <w:r>
              <w:rPr>
                <w:rFonts w:hint="eastAsia" w:cs="Times New Roman"/>
                <w:sz w:val="21"/>
                <w:szCs w:val="21"/>
                <w:lang w:eastAsia="zh-CN"/>
              </w:rPr>
              <w:tab/>
            </w:r>
            <w:r>
              <w:rPr>
                <w:rFonts w:hint="eastAsia" w:cs="Times New Roman"/>
                <w:sz w:val="21"/>
                <w:szCs w:val="21"/>
                <w:lang w:val="en-US" w:eastAsia="zh-CN"/>
              </w:rPr>
              <w:t xml:space="preserve">       </w:t>
            </w:r>
            <w:r>
              <w:rPr>
                <w:rFonts w:hint="eastAsia" w:cs="Times New Roman"/>
                <w:sz w:val="21"/>
                <w:szCs w:val="21"/>
                <w:lang w:eastAsia="zh-CN"/>
              </w:rPr>
              <w:t>钢坯、套筒毛坯件</w:t>
            </w:r>
            <w:r>
              <w:rPr>
                <w:rFonts w:hint="eastAsia" w:cs="Times New Roman"/>
                <w:sz w:val="21"/>
                <w:szCs w:val="21"/>
                <w:lang w:val="en-US" w:eastAsia="zh-CN"/>
              </w:rPr>
              <w:t>模具</w:t>
            </w:r>
          </w:p>
          <w:p>
            <w:pPr>
              <w:rPr>
                <w:rFonts w:hint="eastAsia" w:cs="Times New Roman"/>
                <w:sz w:val="21"/>
                <w:szCs w:val="21"/>
                <w:lang w:eastAsia="zh-CN"/>
              </w:rPr>
            </w:pPr>
            <w:r>
              <w:rPr>
                <w:rFonts w:hint="eastAsia" w:cs="Times New Roman"/>
                <w:sz w:val="21"/>
                <w:szCs w:val="21"/>
                <w:lang w:eastAsia="zh-CN"/>
              </w:rPr>
              <w:t>河北河通金属制品有限公司</w:t>
            </w:r>
            <w:r>
              <w:rPr>
                <w:rFonts w:hint="eastAsia" w:cs="Times New Roman"/>
                <w:sz w:val="21"/>
                <w:szCs w:val="21"/>
                <w:lang w:val="en-US" w:eastAsia="zh-CN"/>
              </w:rPr>
              <w:t xml:space="preserve">    </w:t>
            </w:r>
            <w:r>
              <w:rPr>
                <w:rFonts w:hint="eastAsia" w:cs="Times New Roman"/>
                <w:sz w:val="21"/>
                <w:szCs w:val="21"/>
                <w:lang w:eastAsia="zh-CN"/>
              </w:rPr>
              <w:tab/>
            </w:r>
            <w:r>
              <w:rPr>
                <w:rFonts w:hint="eastAsia" w:cs="Times New Roman"/>
                <w:sz w:val="21"/>
                <w:szCs w:val="21"/>
                <w:lang w:eastAsia="zh-CN"/>
              </w:rPr>
              <w:t>钢坯、套筒毛坯件</w:t>
            </w:r>
            <w:r>
              <w:rPr>
                <w:rFonts w:hint="eastAsia" w:cs="Times New Roman"/>
                <w:sz w:val="21"/>
                <w:szCs w:val="21"/>
                <w:lang w:val="en-US" w:eastAsia="zh-CN"/>
              </w:rPr>
              <w:t>模具</w:t>
            </w:r>
          </w:p>
          <w:p>
            <w:pPr>
              <w:rPr>
                <w:rFonts w:hint="eastAsia" w:cs="Times New Roman"/>
                <w:sz w:val="21"/>
                <w:szCs w:val="21"/>
                <w:lang w:eastAsia="zh-CN"/>
              </w:rPr>
            </w:pPr>
            <w:r>
              <w:rPr>
                <w:rFonts w:hint="eastAsia" w:cs="Times New Roman"/>
                <w:sz w:val="21"/>
                <w:szCs w:val="21"/>
                <w:lang w:eastAsia="zh-CN"/>
              </w:rPr>
              <w:t>兄弟远程物流有限公司</w:t>
            </w:r>
            <w:r>
              <w:rPr>
                <w:rFonts w:hint="eastAsia" w:cs="Times New Roman"/>
                <w:sz w:val="21"/>
                <w:szCs w:val="21"/>
                <w:lang w:val="en-US" w:eastAsia="zh-CN"/>
              </w:rPr>
              <w:t xml:space="preserve">         </w:t>
            </w:r>
            <w:r>
              <w:rPr>
                <w:rFonts w:hint="eastAsia" w:cs="Times New Roman"/>
                <w:sz w:val="21"/>
                <w:szCs w:val="21"/>
                <w:lang w:eastAsia="zh-CN"/>
              </w:rPr>
              <w:tab/>
            </w:r>
            <w:r>
              <w:rPr>
                <w:rFonts w:hint="eastAsia" w:cs="Times New Roman"/>
                <w:sz w:val="21"/>
                <w:szCs w:val="21"/>
                <w:lang w:eastAsia="zh-CN"/>
              </w:rPr>
              <w:t>物流运输</w:t>
            </w:r>
          </w:p>
          <w:p>
            <w:pPr>
              <w:rPr>
                <w:rFonts w:hint="eastAsia" w:cs="Times New Roman"/>
                <w:sz w:val="21"/>
                <w:szCs w:val="21"/>
                <w:lang w:eastAsia="zh-CN"/>
              </w:rPr>
            </w:pPr>
            <w:r>
              <w:rPr>
                <w:rFonts w:hint="eastAsia" w:cs="Times New Roman"/>
                <w:sz w:val="21"/>
                <w:szCs w:val="21"/>
                <w:lang w:eastAsia="zh-CN"/>
              </w:rPr>
              <w:t>诚达物流</w:t>
            </w:r>
            <w:r>
              <w:rPr>
                <w:rFonts w:hint="eastAsia" w:cs="Times New Roman"/>
                <w:sz w:val="21"/>
                <w:szCs w:val="21"/>
                <w:lang w:eastAsia="zh-CN"/>
              </w:rPr>
              <w:tab/>
            </w:r>
            <w:r>
              <w:rPr>
                <w:rFonts w:hint="eastAsia" w:cs="Times New Roman"/>
                <w:sz w:val="21"/>
                <w:szCs w:val="21"/>
                <w:lang w:val="en-US" w:eastAsia="zh-CN"/>
              </w:rPr>
              <w:t xml:space="preserve">                     </w:t>
            </w:r>
            <w:r>
              <w:rPr>
                <w:rFonts w:hint="eastAsia" w:cs="Times New Roman"/>
                <w:sz w:val="21"/>
                <w:szCs w:val="21"/>
                <w:lang w:eastAsia="zh-CN"/>
              </w:rPr>
              <w:t>物流运输</w:t>
            </w:r>
          </w:p>
          <w:p>
            <w:pPr>
              <w:rPr>
                <w:rFonts w:hint="eastAsia" w:cs="Times New Roman"/>
                <w:sz w:val="21"/>
                <w:szCs w:val="21"/>
                <w:lang w:eastAsia="zh-CN"/>
              </w:rPr>
            </w:pPr>
            <w:r>
              <w:rPr>
                <w:rFonts w:hint="eastAsia" w:cs="Times New Roman"/>
                <w:sz w:val="21"/>
                <w:szCs w:val="21"/>
                <w:lang w:eastAsia="zh-CN"/>
              </w:rPr>
              <w:t>……</w:t>
            </w:r>
          </w:p>
          <w:p>
            <w:pPr>
              <w:rPr>
                <w:rFonts w:hint="default" w:cs="Times New Roman"/>
                <w:sz w:val="21"/>
                <w:szCs w:val="21"/>
                <w:lang w:val="en-US" w:eastAsia="zh-CN"/>
              </w:rPr>
            </w:pPr>
            <w:r>
              <w:rPr>
                <w:rFonts w:hint="eastAsia" w:cs="Times New Roman"/>
                <w:sz w:val="21"/>
                <w:szCs w:val="21"/>
                <w:lang w:eastAsia="zh-CN"/>
              </w:rPr>
              <w:t>对以上供方进行了评价，提供了《供方评定记录表》，评审日期为</w:t>
            </w:r>
            <w:r>
              <w:rPr>
                <w:rFonts w:hint="eastAsia" w:cs="Times New Roman"/>
                <w:sz w:val="21"/>
                <w:szCs w:val="21"/>
                <w:lang w:val="en-US" w:eastAsia="zh-CN"/>
              </w:rPr>
              <w:t>2022.1.1</w:t>
            </w:r>
          </w:p>
          <w:p>
            <w:pPr>
              <w:rPr>
                <w:rFonts w:hint="eastAsia" w:cs="Times New Roman"/>
                <w:sz w:val="21"/>
                <w:szCs w:val="21"/>
                <w:lang w:eastAsia="zh-CN"/>
              </w:rPr>
            </w:pPr>
            <w:r>
              <w:rPr>
                <w:rFonts w:hint="eastAsia" w:cs="Times New Roman"/>
                <w:sz w:val="21"/>
                <w:szCs w:val="21"/>
                <w:lang w:eastAsia="zh-CN"/>
              </w:rPr>
              <w:t>——抽聊城玖诺钢管有限公司</w:t>
            </w:r>
            <w:r>
              <w:rPr>
                <w:rFonts w:hint="eastAsia" w:cs="Times New Roman"/>
                <w:sz w:val="21"/>
                <w:szCs w:val="21"/>
                <w:lang w:val="en-US" w:eastAsia="zh-CN"/>
              </w:rPr>
              <w:t>的评定记录，内容包括资质情况，产品质量，售后服务等方面进行了评价，评价结论：同意列为合格供方。</w:t>
            </w:r>
          </w:p>
          <w:p>
            <w:pPr>
              <w:rPr>
                <w:rFonts w:hint="eastAsia" w:cs="Times New Roman"/>
                <w:sz w:val="21"/>
                <w:szCs w:val="21"/>
                <w:lang w:eastAsia="zh-CN"/>
              </w:rPr>
            </w:pPr>
            <w:r>
              <w:rPr>
                <w:rFonts w:hint="eastAsia" w:cs="Times New Roman"/>
                <w:sz w:val="21"/>
                <w:szCs w:val="21"/>
                <w:lang w:eastAsia="zh-CN"/>
              </w:rPr>
              <w:t>另查其他供方，均进行了复审，复审结论：可列为合格供方，评审日期</w:t>
            </w:r>
            <w:r>
              <w:rPr>
                <w:rFonts w:hint="eastAsia" w:cs="Times New Roman"/>
                <w:sz w:val="21"/>
                <w:szCs w:val="21"/>
                <w:lang w:val="en-US" w:eastAsia="zh-CN"/>
              </w:rPr>
              <w:t>2022.1.1。</w:t>
            </w:r>
          </w:p>
          <w:p>
            <w:pPr>
              <w:rPr>
                <w:rFonts w:hint="eastAsia" w:cs="Times New Roman"/>
                <w:sz w:val="21"/>
                <w:szCs w:val="21"/>
                <w:lang w:val="en-US" w:eastAsia="zh-CN"/>
              </w:rPr>
            </w:pPr>
            <w:r>
              <w:rPr>
                <w:rFonts w:hint="eastAsia" w:cs="Times New Roman"/>
                <w:sz w:val="21"/>
                <w:szCs w:val="21"/>
                <w:lang w:eastAsia="zh-CN"/>
              </w:rPr>
              <w:t>销售部根据销售合同和车间生产及原料库存情况，制定采购计划并进行采购。</w:t>
            </w:r>
          </w:p>
          <w:p>
            <w:pPr>
              <w:rPr>
                <w:rFonts w:hint="eastAsia" w:cs="Times New Roman"/>
                <w:sz w:val="21"/>
                <w:szCs w:val="21"/>
                <w:lang w:val="en-US" w:eastAsia="zh-CN"/>
              </w:rPr>
            </w:pPr>
            <w:r>
              <w:rPr>
                <w:rFonts w:hint="eastAsia" w:cs="Times New Roman"/>
                <w:sz w:val="21"/>
                <w:szCs w:val="21"/>
                <w:lang w:val="en-US" w:eastAsia="zh-CN"/>
              </w:rPr>
              <w:t>采购原料到货后由销售部按送货单清点数量，生产所需原料由生产部检验验收。验收合格入库。</w:t>
            </w:r>
          </w:p>
          <w:p>
            <w:pPr>
              <w:rPr>
                <w:rFonts w:hint="default" w:cs="Times New Roman"/>
                <w:sz w:val="21"/>
                <w:szCs w:val="21"/>
                <w:lang w:val="en-US" w:eastAsia="zh-CN"/>
              </w:rPr>
            </w:pPr>
            <w:r>
              <w:rPr>
                <w:rFonts w:hint="eastAsia" w:cs="Times New Roman"/>
                <w:sz w:val="21"/>
                <w:szCs w:val="21"/>
                <w:lang w:val="en-US" w:eastAsia="zh-CN"/>
              </w:rPr>
              <w:t>抽2022年4月12日采购计划表，采购235#钢管，数量320吨，交货日期：2022.4.19日</w:t>
            </w:r>
          </w:p>
          <w:p>
            <w:pPr>
              <w:rPr>
                <w:rFonts w:hint="default" w:cs="Times New Roman"/>
                <w:sz w:val="21"/>
                <w:szCs w:val="21"/>
                <w:lang w:val="en-US" w:eastAsia="zh-CN"/>
              </w:rPr>
            </w:pPr>
            <w:r>
              <w:rPr>
                <w:rFonts w:hint="eastAsia" w:cs="Times New Roman"/>
                <w:sz w:val="21"/>
                <w:szCs w:val="21"/>
                <w:lang w:val="en-US" w:eastAsia="zh-CN"/>
              </w:rPr>
              <w:t>抽2022年5月11日采购计划表，采购45#钢管，数量280吨，交货日期：2022.5.18日</w:t>
            </w:r>
          </w:p>
          <w:p>
            <w:pPr>
              <w:rPr>
                <w:rFonts w:hint="eastAsia" w:ascii="Times New Roman" w:hAnsi="Times New Roman" w:eastAsia="宋体" w:cs="Times New Roman"/>
                <w:kern w:val="2"/>
                <w:sz w:val="21"/>
                <w:szCs w:val="21"/>
                <w:lang w:val="en-US" w:eastAsia="zh-CN" w:bidi="ar-SA"/>
              </w:rPr>
            </w:pPr>
            <w:r>
              <w:rPr>
                <w:rFonts w:hint="eastAsia" w:cs="Times New Roman"/>
                <w:sz w:val="21"/>
                <w:szCs w:val="21"/>
                <w:lang w:val="en-US" w:eastAsia="zh-CN"/>
              </w:rPr>
              <w:t>产品运输过程外包，与物流方签订运输协议，随车有发货单，清点数量，客户确认收货后发货单回传后与物流方结算。</w:t>
            </w:r>
          </w:p>
        </w:tc>
        <w:tc>
          <w:tcPr>
            <w:tcW w:w="1585" w:type="dxa"/>
          </w:tcPr>
          <w:p>
            <w:pPr>
              <w:rPr>
                <w:rFonts w:hint="eastAsia"/>
                <w:sz w:val="21"/>
                <w:szCs w:val="21"/>
                <w:lang w:val="en-US" w:eastAsia="zh-CN"/>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运行控制</w:t>
            </w:r>
          </w:p>
        </w:tc>
        <w:tc>
          <w:tcPr>
            <w:tcW w:w="1225" w:type="dxa"/>
            <w:vAlign w:val="top"/>
          </w:tcPr>
          <w:p>
            <w:pPr>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EO8.1</w:t>
            </w:r>
          </w:p>
        </w:tc>
        <w:tc>
          <w:tcPr>
            <w:tcW w:w="10004" w:type="dxa"/>
            <w:vAlign w:val="top"/>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sz w:val="21"/>
                <w:szCs w:val="21"/>
              </w:rPr>
              <w:t>●</w:t>
            </w:r>
            <w:r>
              <w:rPr>
                <w:rFonts w:hint="eastAsia" w:ascii="Times New Roman" w:hAnsi="Times New Roman" w:eastAsia="宋体" w:cs="Times New Roman"/>
                <w:bCs w:val="0"/>
                <w:spacing w:val="0"/>
                <w:kern w:val="2"/>
                <w:sz w:val="21"/>
                <w:szCs w:val="21"/>
                <w:lang w:val="en-US" w:eastAsia="zh-CN" w:bidi="ar-SA"/>
              </w:rPr>
              <w:t>本部门应执行的运行控制文件包括：</w:t>
            </w:r>
            <w:r>
              <w:rPr>
                <w:rFonts w:hint="eastAsia" w:cs="Times New Roman"/>
                <w:bCs w:val="0"/>
                <w:spacing w:val="0"/>
                <w:kern w:val="2"/>
                <w:sz w:val="21"/>
                <w:szCs w:val="21"/>
                <w:lang w:val="en-US" w:eastAsia="zh-CN" w:bidi="ar-SA"/>
              </w:rPr>
              <w:t>环境和职业健康安全运行控制程序</w:t>
            </w:r>
            <w:r>
              <w:rPr>
                <w:rFonts w:hint="eastAsia" w:ascii="Times New Roman" w:hAnsi="Times New Roman" w:eastAsia="宋体" w:cs="Times New Roman"/>
                <w:bCs w:val="0"/>
                <w:spacing w:val="0"/>
                <w:kern w:val="2"/>
                <w:sz w:val="21"/>
                <w:szCs w:val="21"/>
                <w:lang w:val="en-US" w:eastAsia="zh-CN" w:bidi="ar-SA"/>
              </w:rPr>
              <w:t>、管理制度汇编中</w:t>
            </w:r>
            <w:r>
              <w:rPr>
                <w:rFonts w:hint="eastAsia" w:cs="Times New Roman"/>
                <w:bCs w:val="0"/>
                <w:spacing w:val="0"/>
                <w:kern w:val="2"/>
                <w:sz w:val="21"/>
                <w:szCs w:val="21"/>
                <w:lang w:val="en-US" w:eastAsia="zh-CN" w:bidi="ar-SA"/>
              </w:rPr>
              <w:t>消防管理制度、相关方环境职业健康安全要求、员工职业健康及劳动保护管理办法、节水、节电管理办法、废弃物管理办法</w:t>
            </w:r>
            <w:r>
              <w:rPr>
                <w:rFonts w:hint="eastAsia" w:ascii="Times New Roman" w:hAnsi="Times New Roman" w:eastAsia="宋体" w:cs="Times New Roman"/>
                <w:bCs w:val="0"/>
                <w:spacing w:val="0"/>
                <w:kern w:val="2"/>
                <w:sz w:val="21"/>
                <w:szCs w:val="21"/>
                <w:lang w:val="en-US" w:eastAsia="zh-CN" w:bidi="ar-SA"/>
              </w:rPr>
              <w:t>等。</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sz w:val="21"/>
                <w:szCs w:val="21"/>
              </w:rPr>
              <w:t>●</w:t>
            </w:r>
            <w:r>
              <w:rPr>
                <w:rFonts w:hint="eastAsia" w:ascii="Times New Roman" w:hAnsi="Times New Roman" w:eastAsia="宋体" w:cs="Times New Roman"/>
                <w:bCs w:val="0"/>
                <w:spacing w:val="0"/>
                <w:kern w:val="2"/>
                <w:sz w:val="21"/>
                <w:szCs w:val="21"/>
                <w:lang w:val="en-US" w:eastAsia="zh-CN" w:bidi="ar-SA"/>
              </w:rPr>
              <w:t>查运行控制情况：</w:t>
            </w:r>
          </w:p>
          <w:p>
            <w:pPr>
              <w:rPr>
                <w:rFonts w:hint="eastAsia"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1、节约能源：</w:t>
            </w:r>
            <w:r>
              <w:rPr>
                <w:rFonts w:hint="eastAsia" w:ascii="Times New Roman" w:hAnsi="Times New Roman" w:eastAsia="宋体" w:cs="Times New Roman"/>
                <w:bCs w:val="0"/>
                <w:spacing w:val="0"/>
                <w:kern w:val="2"/>
                <w:sz w:val="21"/>
                <w:szCs w:val="21"/>
                <w:lang w:val="en-US" w:eastAsia="zh-CN" w:bidi="ar-SA"/>
              </w:rPr>
              <w:t>办公过程注意节约用电，</w:t>
            </w:r>
            <w:r>
              <w:rPr>
                <w:rFonts w:hint="eastAsia" w:cs="Times New Roman"/>
                <w:bCs w:val="0"/>
                <w:spacing w:val="0"/>
                <w:kern w:val="2"/>
                <w:sz w:val="21"/>
                <w:szCs w:val="21"/>
                <w:lang w:val="en-US" w:eastAsia="zh-CN" w:bidi="ar-SA"/>
              </w:rPr>
              <w:t>销售部</w:t>
            </w:r>
            <w:r>
              <w:rPr>
                <w:rFonts w:hint="eastAsia" w:ascii="Times New Roman" w:hAnsi="Times New Roman" w:eastAsia="宋体" w:cs="Times New Roman"/>
                <w:bCs w:val="0"/>
                <w:spacing w:val="0"/>
                <w:kern w:val="2"/>
                <w:sz w:val="21"/>
                <w:szCs w:val="21"/>
                <w:lang w:val="en-US" w:eastAsia="zh-CN" w:bidi="ar-SA"/>
              </w:rPr>
              <w:t>做到人走灯灭，电脑长时间不用时关机，下班前要关闭电源；</w:t>
            </w:r>
          </w:p>
          <w:p>
            <w:pPr>
              <w:rPr>
                <w:rFonts w:hint="eastAsia"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2、固废：</w:t>
            </w:r>
            <w:r>
              <w:rPr>
                <w:rFonts w:hint="eastAsia" w:ascii="Times New Roman" w:hAnsi="Times New Roman" w:eastAsia="宋体" w:cs="Times New Roman"/>
                <w:bCs w:val="0"/>
                <w:spacing w:val="0"/>
                <w:kern w:val="2"/>
                <w:sz w:val="21"/>
                <w:szCs w:val="21"/>
                <w:lang w:val="en-US" w:eastAsia="zh-CN" w:bidi="ar-SA"/>
              </w:rPr>
              <w:t>办公过程产生的固废</w:t>
            </w:r>
            <w:r>
              <w:rPr>
                <w:rFonts w:hint="eastAsia" w:cs="Times New Roman"/>
                <w:bCs w:val="0"/>
                <w:spacing w:val="0"/>
                <w:kern w:val="2"/>
                <w:sz w:val="21"/>
                <w:szCs w:val="21"/>
                <w:lang w:val="en-US" w:eastAsia="zh-CN" w:bidi="ar-SA"/>
              </w:rPr>
              <w:t>（一般为废纸张、废包装等）</w:t>
            </w:r>
            <w:r>
              <w:rPr>
                <w:rFonts w:hint="eastAsia" w:ascii="Times New Roman" w:hAnsi="Times New Roman" w:eastAsia="宋体" w:cs="Times New Roman"/>
                <w:bCs w:val="0"/>
                <w:spacing w:val="0"/>
                <w:kern w:val="2"/>
                <w:sz w:val="21"/>
                <w:szCs w:val="21"/>
                <w:lang w:val="en-US" w:eastAsia="zh-CN" w:bidi="ar-SA"/>
              </w:rPr>
              <w:t>按办公室要求放到指定地点，</w:t>
            </w:r>
            <w:r>
              <w:rPr>
                <w:rFonts w:hint="eastAsia" w:cs="Times New Roman"/>
                <w:bCs w:val="0"/>
                <w:spacing w:val="0"/>
                <w:kern w:val="2"/>
                <w:sz w:val="21"/>
                <w:szCs w:val="21"/>
                <w:lang w:val="en-US" w:eastAsia="zh-CN" w:bidi="ar-SA"/>
              </w:rPr>
              <w:t>并统一外售；</w:t>
            </w:r>
            <w:r>
              <w:rPr>
                <w:rFonts w:hint="eastAsia" w:ascii="Times New Roman" w:hAnsi="Times New Roman" w:eastAsia="宋体" w:cs="Times New Roman"/>
                <w:bCs w:val="0"/>
                <w:spacing w:val="0"/>
                <w:kern w:val="2"/>
                <w:sz w:val="21"/>
                <w:szCs w:val="21"/>
                <w:lang w:val="en-US" w:eastAsia="zh-CN" w:bidi="ar-SA"/>
              </w:rPr>
              <w:t>办公用品按要求由办公室负责发放，作好记录；</w:t>
            </w:r>
            <w:r>
              <w:rPr>
                <w:rFonts w:hint="eastAsia" w:cs="Times New Roman"/>
                <w:bCs w:val="0"/>
                <w:spacing w:val="0"/>
                <w:kern w:val="2"/>
                <w:sz w:val="21"/>
                <w:szCs w:val="21"/>
                <w:lang w:val="en-US" w:eastAsia="zh-CN" w:bidi="ar-SA"/>
              </w:rPr>
              <w:t>废弃的防疫物资按办公室要求统一丢弃至专用垃圾桶进行处理；</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3、火灾：</w:t>
            </w:r>
            <w:r>
              <w:rPr>
                <w:rFonts w:hint="eastAsia" w:cs="Times New Roman"/>
                <w:bCs w:val="0"/>
                <w:spacing w:val="0"/>
                <w:kern w:val="2"/>
                <w:sz w:val="21"/>
                <w:szCs w:val="21"/>
                <w:lang w:val="en-US" w:eastAsia="zh-CN" w:bidi="ar-SA"/>
              </w:rPr>
              <w:t>办公区楼道内</w:t>
            </w:r>
            <w:r>
              <w:rPr>
                <w:rFonts w:hint="eastAsia" w:ascii="Times New Roman" w:hAnsi="Times New Roman" w:eastAsia="宋体" w:cs="Times New Roman"/>
                <w:bCs w:val="0"/>
                <w:spacing w:val="0"/>
                <w:kern w:val="2"/>
                <w:sz w:val="21"/>
                <w:szCs w:val="21"/>
                <w:lang w:val="en-US" w:eastAsia="zh-CN" w:bidi="ar-SA"/>
              </w:rPr>
              <w:t>配备了消防栓、灭火器，经查均在有效压力范围内</w:t>
            </w:r>
            <w:r>
              <w:rPr>
                <w:rFonts w:hint="eastAsia" w:cs="Times New Roman"/>
                <w:bCs w:val="0"/>
                <w:spacing w:val="0"/>
                <w:kern w:val="2"/>
                <w:sz w:val="21"/>
                <w:szCs w:val="21"/>
                <w:lang w:val="en-US" w:eastAsia="zh-CN" w:bidi="ar-SA"/>
              </w:rPr>
              <w:t>，由大楼物业负责维护</w:t>
            </w:r>
            <w:r>
              <w:rPr>
                <w:rFonts w:hint="eastAsia" w:ascii="Times New Roman" w:hAnsi="Times New Roman" w:eastAsia="宋体" w:cs="Times New Roman"/>
                <w:bCs w:val="0"/>
                <w:spacing w:val="0"/>
                <w:kern w:val="2"/>
                <w:sz w:val="21"/>
                <w:szCs w:val="21"/>
                <w:lang w:val="en-US" w:eastAsia="zh-CN" w:bidi="ar-SA"/>
              </w:rPr>
              <w:t>。</w:t>
            </w:r>
          </w:p>
          <w:p>
            <w:pPr>
              <w:rPr>
                <w:rFonts w:hint="eastAsia"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4、</w:t>
            </w:r>
            <w:r>
              <w:rPr>
                <w:rFonts w:hint="eastAsia" w:ascii="Times New Roman" w:hAnsi="Times New Roman" w:eastAsia="宋体" w:cs="Times New Roman"/>
                <w:bCs w:val="0"/>
                <w:spacing w:val="0"/>
                <w:kern w:val="2"/>
                <w:sz w:val="21"/>
                <w:szCs w:val="21"/>
                <w:lang w:val="en-US" w:eastAsia="zh-CN" w:bidi="ar-SA"/>
              </w:rPr>
              <w:t>工作时间平均每天不超过8小时，公司为员工办理了意外伤害等保险；</w:t>
            </w:r>
          </w:p>
          <w:p>
            <w:pPr>
              <w:rPr>
                <w:rFonts w:hint="eastAsia"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5、</w:t>
            </w:r>
            <w:r>
              <w:rPr>
                <w:rFonts w:hint="eastAsia" w:ascii="Times New Roman" w:hAnsi="Times New Roman" w:eastAsia="宋体" w:cs="Times New Roman"/>
                <w:bCs w:val="0"/>
                <w:spacing w:val="0"/>
                <w:kern w:val="2"/>
                <w:sz w:val="21"/>
                <w:szCs w:val="21"/>
                <w:lang w:val="en-US" w:eastAsia="zh-CN" w:bidi="ar-SA"/>
              </w:rPr>
              <w:t>外出办公要求遵守道路交通安全法</w:t>
            </w:r>
            <w:r>
              <w:rPr>
                <w:rFonts w:hint="eastAsia" w:cs="Times New Roman"/>
                <w:bCs w:val="0"/>
                <w:spacing w:val="0"/>
                <w:kern w:val="2"/>
                <w:sz w:val="21"/>
                <w:szCs w:val="21"/>
                <w:lang w:val="en-US" w:eastAsia="zh-CN" w:bidi="ar-SA"/>
              </w:rPr>
              <w:t>，</w:t>
            </w:r>
            <w:r>
              <w:rPr>
                <w:rFonts w:hint="eastAsia" w:ascii="Times New Roman" w:hAnsi="Times New Roman" w:eastAsia="宋体" w:cs="Times New Roman"/>
                <w:bCs w:val="0"/>
                <w:spacing w:val="0"/>
                <w:kern w:val="2"/>
                <w:sz w:val="21"/>
                <w:szCs w:val="21"/>
                <w:lang w:val="en-US" w:eastAsia="zh-CN" w:bidi="ar-SA"/>
              </w:rPr>
              <w:t>不违章行驶，驾驶证和车辆定期年审，确保出行安全；</w:t>
            </w:r>
          </w:p>
          <w:p>
            <w:pPr>
              <w:rPr>
                <w:rFonts w:hint="eastAsia" w:ascii="Times New Roman" w:hAnsi="Times New Roman" w:eastAsia="宋体"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6、</w:t>
            </w:r>
            <w:r>
              <w:rPr>
                <w:rFonts w:hint="eastAsia" w:ascii="Times New Roman" w:hAnsi="Times New Roman" w:eastAsia="宋体" w:cs="Times New Roman"/>
                <w:bCs w:val="0"/>
                <w:spacing w:val="0"/>
                <w:kern w:val="2"/>
                <w:sz w:val="21"/>
                <w:szCs w:val="21"/>
                <w:lang w:val="en-US" w:eastAsia="zh-CN" w:bidi="ar-SA"/>
              </w:rPr>
              <w:t>提供了</w:t>
            </w:r>
            <w:r>
              <w:rPr>
                <w:rFonts w:hint="eastAsia" w:cs="Times New Roman"/>
                <w:bCs w:val="0"/>
                <w:spacing w:val="0"/>
                <w:kern w:val="2"/>
                <w:sz w:val="21"/>
                <w:szCs w:val="21"/>
                <w:lang w:val="en-US" w:eastAsia="zh-CN" w:bidi="ar-SA"/>
              </w:rPr>
              <w:t>《</w:t>
            </w:r>
            <w:r>
              <w:rPr>
                <w:rFonts w:hint="eastAsia" w:ascii="Times New Roman" w:hAnsi="Times New Roman" w:eastAsia="宋体" w:cs="Times New Roman"/>
                <w:bCs w:val="0"/>
                <w:spacing w:val="0"/>
                <w:kern w:val="2"/>
                <w:sz w:val="21"/>
                <w:szCs w:val="21"/>
                <w:lang w:val="en-US" w:eastAsia="zh-CN" w:bidi="ar-SA"/>
              </w:rPr>
              <w:t>需重点</w:t>
            </w:r>
            <w:r>
              <w:rPr>
                <w:rFonts w:hint="eastAsia" w:cs="Times New Roman"/>
                <w:bCs w:val="0"/>
                <w:spacing w:val="0"/>
                <w:kern w:val="2"/>
                <w:sz w:val="21"/>
                <w:szCs w:val="21"/>
                <w:lang w:val="en-US" w:eastAsia="zh-CN" w:bidi="ar-SA"/>
              </w:rPr>
              <w:t>实施</w:t>
            </w:r>
            <w:r>
              <w:rPr>
                <w:rFonts w:hint="eastAsia" w:ascii="Times New Roman" w:hAnsi="Times New Roman" w:eastAsia="宋体" w:cs="Times New Roman"/>
                <w:bCs w:val="0"/>
                <w:spacing w:val="0"/>
                <w:kern w:val="2"/>
                <w:sz w:val="21"/>
                <w:szCs w:val="21"/>
                <w:lang w:val="en-US" w:eastAsia="zh-CN" w:bidi="ar-SA"/>
              </w:rPr>
              <w:t>影响的相关方一览表</w:t>
            </w:r>
            <w:r>
              <w:rPr>
                <w:rFonts w:hint="eastAsia" w:cs="Times New Roman"/>
                <w:bCs w:val="0"/>
                <w:spacing w:val="0"/>
                <w:kern w:val="2"/>
                <w:sz w:val="21"/>
                <w:szCs w:val="21"/>
                <w:lang w:val="en-US" w:eastAsia="zh-CN" w:bidi="ar-SA"/>
              </w:rPr>
              <w:t>》及《致环境管理、职业健康安全管理相关方通报书》</w:t>
            </w:r>
            <w:r>
              <w:rPr>
                <w:rFonts w:hint="eastAsia" w:ascii="Times New Roman" w:hAnsi="Times New Roman" w:eastAsia="宋体" w:cs="Times New Roman"/>
                <w:bCs w:val="0"/>
                <w:spacing w:val="0"/>
                <w:kern w:val="2"/>
                <w:sz w:val="21"/>
                <w:szCs w:val="21"/>
                <w:lang w:val="en-US" w:eastAsia="zh-CN" w:bidi="ar-SA"/>
              </w:rPr>
              <w:t>，通过</w:t>
            </w:r>
            <w:r>
              <w:rPr>
                <w:rFonts w:hint="eastAsia" w:cs="Times New Roman"/>
                <w:bCs w:val="0"/>
                <w:spacing w:val="0"/>
                <w:kern w:val="2"/>
                <w:sz w:val="21"/>
                <w:szCs w:val="21"/>
                <w:lang w:val="en-US" w:eastAsia="zh-CN" w:bidi="ar-SA"/>
              </w:rPr>
              <w:t>通报书</w:t>
            </w:r>
            <w:r>
              <w:rPr>
                <w:rFonts w:hint="eastAsia" w:ascii="Times New Roman" w:hAnsi="Times New Roman" w:eastAsia="宋体" w:cs="Times New Roman"/>
                <w:bCs w:val="0"/>
                <w:spacing w:val="0"/>
                <w:kern w:val="2"/>
                <w:sz w:val="21"/>
                <w:szCs w:val="21"/>
                <w:lang w:val="en-US" w:eastAsia="zh-CN" w:bidi="ar-SA"/>
              </w:rPr>
              <w:t>告知各位来访人员公司有关安全方面应注意的事项及相关规定</w:t>
            </w:r>
            <w:r>
              <w:rPr>
                <w:rFonts w:hint="eastAsia" w:cs="Times New Roman"/>
                <w:bCs w:val="0"/>
                <w:spacing w:val="0"/>
                <w:kern w:val="2"/>
                <w:sz w:val="21"/>
                <w:szCs w:val="21"/>
                <w:lang w:val="en-US" w:eastAsia="zh-CN" w:bidi="ar-SA"/>
              </w:rPr>
              <w:t>，并保留了相关记录。</w:t>
            </w:r>
          </w:p>
          <w:p>
            <w:pPr>
              <w:rPr>
                <w:rFonts w:hint="default"/>
                <w:sz w:val="21"/>
                <w:szCs w:val="21"/>
                <w:lang w:val="en-US" w:eastAsia="zh-CN"/>
              </w:rPr>
            </w:pPr>
            <w:r>
              <w:rPr>
                <w:rFonts w:hint="eastAsia" w:cs="Times New Roman"/>
                <w:bCs w:val="0"/>
                <w:spacing w:val="0"/>
                <w:kern w:val="2"/>
                <w:sz w:val="21"/>
                <w:szCs w:val="21"/>
                <w:lang w:val="en-US" w:eastAsia="zh-CN" w:bidi="ar-SA"/>
              </w:rPr>
              <w:t>7、劳保用品由办公室统一发放，提供了发放记录，现场查看，有口罩，医用酒精，消毒液等。销售部全体人员在公司办公和外出谈业务过程中，严格注意防护，全程佩戴口罩，做好疫情防护工作。办公区域每日清洁消毒，有清洁记录。</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现场查看办公室设备、电器状态良好，配置了灭火器，无火灾、触电隐患，废弃物无混放现象。</w:t>
            </w:r>
          </w:p>
        </w:tc>
        <w:tc>
          <w:tcPr>
            <w:tcW w:w="1585" w:type="dxa"/>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895" w:type="dxa"/>
          </w:tcPr>
          <w:p>
            <w:pPr>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应急准备和响应</w:t>
            </w:r>
          </w:p>
        </w:tc>
        <w:tc>
          <w:tcPr>
            <w:tcW w:w="1225" w:type="dxa"/>
          </w:tcPr>
          <w:p>
            <w:pPr>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EO8.2</w:t>
            </w:r>
          </w:p>
        </w:tc>
        <w:tc>
          <w:tcPr>
            <w:tcW w:w="10004" w:type="dxa"/>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执行《应急准备与响应控制程序》。根据识别出的紧急情况，编制了《应急救援预案汇编》，</w:t>
            </w:r>
          </w:p>
          <w:p>
            <w:pPr>
              <w:rPr>
                <w:rFonts w:hint="eastAsia"/>
                <w:sz w:val="21"/>
                <w:szCs w:val="21"/>
                <w:lang w:val="en-US" w:eastAsia="zh-CN"/>
              </w:rPr>
            </w:pPr>
            <w:r>
              <w:rPr>
                <w:rFonts w:hint="eastAsia" w:cs="Times New Roman"/>
                <w:bCs w:val="0"/>
                <w:spacing w:val="0"/>
                <w:kern w:val="2"/>
                <w:sz w:val="21"/>
                <w:szCs w:val="21"/>
                <w:lang w:val="en-US" w:eastAsia="zh-CN" w:bidi="ar-SA"/>
              </w:rPr>
              <w:t>销售部</w:t>
            </w:r>
            <w:r>
              <w:rPr>
                <w:rFonts w:hint="eastAsia" w:ascii="Times New Roman" w:hAnsi="Times New Roman" w:eastAsia="宋体" w:cs="Times New Roman"/>
                <w:bCs w:val="0"/>
                <w:spacing w:val="0"/>
                <w:kern w:val="2"/>
                <w:sz w:val="21"/>
                <w:szCs w:val="21"/>
                <w:lang w:val="en-US" w:eastAsia="zh-CN" w:bidi="ar-SA"/>
              </w:rPr>
              <w:t>于</w:t>
            </w:r>
            <w:r>
              <w:rPr>
                <w:rFonts w:hint="eastAsia"/>
                <w:sz w:val="21"/>
                <w:szCs w:val="21"/>
                <w:lang w:val="en-US" w:eastAsia="zh-CN"/>
              </w:rPr>
              <w:t>2021年12月19日参加了公司组织的火灾应急预案演练；</w:t>
            </w:r>
            <w:r>
              <w:rPr>
                <w:rFonts w:hint="eastAsia"/>
                <w:sz w:val="21"/>
                <w:szCs w:val="21"/>
                <w:lang w:val="en-US" w:eastAsia="zh-CN"/>
              </w:rPr>
              <w:tab/>
            </w:r>
          </w:p>
          <w:p>
            <w:pPr>
              <w:rPr>
                <w:rFonts w:hint="eastAsia"/>
                <w:sz w:val="21"/>
                <w:szCs w:val="21"/>
                <w:lang w:val="en-US" w:eastAsia="zh-CN"/>
              </w:rPr>
            </w:pPr>
            <w:r>
              <w:rPr>
                <w:rFonts w:hint="eastAsia"/>
                <w:sz w:val="21"/>
                <w:szCs w:val="21"/>
                <w:lang w:val="en-US" w:eastAsia="zh-CN"/>
              </w:rPr>
              <w:t>2022年3月16日参加了公司组织的触电伤害应急预案演练；</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详见办公室对应条款记录。</w:t>
            </w:r>
            <w:bookmarkStart w:id="0" w:name="_GoBack"/>
            <w:bookmarkEnd w:id="0"/>
          </w:p>
        </w:tc>
        <w:tc>
          <w:tcPr>
            <w:tcW w:w="1585" w:type="dxa"/>
          </w:tcPr>
          <w:p>
            <w:pPr>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vAlign w:val="center"/>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顾客满意度</w:t>
            </w:r>
          </w:p>
        </w:tc>
        <w:tc>
          <w:tcPr>
            <w:tcW w:w="1225" w:type="dxa"/>
            <w:vAlign w:val="center"/>
          </w:tcPr>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Q9.1.2</w:t>
            </w:r>
          </w:p>
        </w:tc>
        <w:tc>
          <w:tcPr>
            <w:tcW w:w="10004" w:type="dxa"/>
          </w:tcPr>
          <w:p>
            <w:pPr>
              <w:rPr>
                <w:rFonts w:hint="eastAsia" w:ascii="Times New Roman" w:hAnsi="Times New Roman" w:eastAsia="宋体" w:cs="Times New Roman"/>
                <w:bCs w:val="0"/>
                <w:spacing w:val="0"/>
                <w:kern w:val="2"/>
                <w:sz w:val="21"/>
                <w:szCs w:val="21"/>
                <w:lang w:val="zh-CN" w:eastAsia="zh-CN" w:bidi="ar-SA"/>
              </w:rPr>
            </w:pPr>
            <w:r>
              <w:rPr>
                <w:rFonts w:hint="eastAsia" w:cs="Times New Roman"/>
                <w:bCs w:val="0"/>
                <w:spacing w:val="0"/>
                <w:kern w:val="2"/>
                <w:sz w:val="21"/>
                <w:szCs w:val="21"/>
                <w:lang w:val="zh-CN" w:eastAsia="zh-CN" w:bidi="ar-SA"/>
              </w:rPr>
              <w:t>销售部负责满意度测量工作</w:t>
            </w:r>
            <w:r>
              <w:rPr>
                <w:rFonts w:hint="eastAsia" w:ascii="Times New Roman" w:hAnsi="Times New Roman" w:eastAsia="宋体" w:cs="Times New Roman"/>
                <w:bCs w:val="0"/>
                <w:spacing w:val="0"/>
                <w:kern w:val="2"/>
                <w:sz w:val="21"/>
                <w:szCs w:val="21"/>
                <w:lang w:val="zh-CN" w:eastAsia="zh-CN" w:bidi="ar-SA"/>
              </w:rPr>
              <w:t>，通过电话，走访等形式，接受顾客反馈，了解顾客顾客满意度信息，发放“客户满意度调查表”对顾客满意度进行定量测量。</w:t>
            </w:r>
          </w:p>
          <w:p>
            <w:pPr>
              <w:rPr>
                <w:rFonts w:hint="eastAsia" w:ascii="Times New Roman" w:hAnsi="Times New Roman" w:eastAsia="宋体" w:cs="Times New Roman"/>
                <w:bCs w:val="0"/>
                <w:spacing w:val="0"/>
                <w:kern w:val="2"/>
                <w:sz w:val="21"/>
                <w:szCs w:val="21"/>
                <w:lang w:val="zh-CN" w:eastAsia="zh-CN" w:bidi="ar-SA"/>
              </w:rPr>
            </w:pPr>
            <w:r>
              <w:rPr>
                <w:rFonts w:hint="eastAsia" w:ascii="Times New Roman" w:hAnsi="Times New Roman" w:eastAsia="宋体" w:cs="Times New Roman"/>
                <w:bCs w:val="0"/>
                <w:spacing w:val="0"/>
                <w:kern w:val="2"/>
                <w:sz w:val="21"/>
                <w:szCs w:val="21"/>
                <w:lang w:val="zh-CN" w:eastAsia="zh-CN" w:bidi="ar-SA"/>
              </w:rPr>
              <w:t>查</w:t>
            </w:r>
            <w:r>
              <w:rPr>
                <w:rFonts w:hint="eastAsia" w:ascii="Times New Roman" w:hAnsi="Times New Roman" w:eastAsia="宋体" w:cs="Times New Roman"/>
                <w:bCs w:val="0"/>
                <w:spacing w:val="0"/>
                <w:kern w:val="2"/>
                <w:sz w:val="21"/>
                <w:szCs w:val="21"/>
                <w:lang w:val="en-US" w:eastAsia="zh-CN" w:bidi="ar-SA"/>
              </w:rPr>
              <w:t>202</w:t>
            </w:r>
            <w:r>
              <w:rPr>
                <w:rFonts w:hint="eastAsia" w:cs="Times New Roman"/>
                <w:bCs w:val="0"/>
                <w:spacing w:val="0"/>
                <w:kern w:val="2"/>
                <w:sz w:val="21"/>
                <w:szCs w:val="21"/>
                <w:lang w:val="en-US" w:eastAsia="zh-CN" w:bidi="ar-SA"/>
              </w:rPr>
              <w:t>2</w:t>
            </w:r>
            <w:r>
              <w:rPr>
                <w:rFonts w:hint="eastAsia" w:ascii="Times New Roman" w:hAnsi="Times New Roman" w:eastAsia="宋体" w:cs="Times New Roman"/>
                <w:bCs w:val="0"/>
                <w:spacing w:val="0"/>
                <w:kern w:val="2"/>
                <w:sz w:val="21"/>
                <w:szCs w:val="21"/>
                <w:lang w:val="en-US" w:eastAsia="zh-CN" w:bidi="ar-SA"/>
              </w:rPr>
              <w:t>年</w:t>
            </w:r>
            <w:r>
              <w:rPr>
                <w:rFonts w:hint="eastAsia" w:cs="Times New Roman"/>
                <w:bCs w:val="0"/>
                <w:spacing w:val="0"/>
                <w:kern w:val="2"/>
                <w:sz w:val="21"/>
                <w:szCs w:val="21"/>
                <w:lang w:val="en-US" w:eastAsia="zh-CN" w:bidi="ar-SA"/>
              </w:rPr>
              <w:t>3</w:t>
            </w:r>
            <w:r>
              <w:rPr>
                <w:rFonts w:hint="eastAsia" w:ascii="Times New Roman" w:hAnsi="Times New Roman" w:eastAsia="宋体" w:cs="Times New Roman"/>
                <w:bCs w:val="0"/>
                <w:spacing w:val="0"/>
                <w:kern w:val="2"/>
                <w:sz w:val="21"/>
                <w:szCs w:val="21"/>
                <w:lang w:val="en-US" w:eastAsia="zh-CN" w:bidi="ar-SA"/>
              </w:rPr>
              <w:t>月</w:t>
            </w:r>
            <w:r>
              <w:rPr>
                <w:rFonts w:hint="eastAsia" w:cs="Times New Roman"/>
                <w:bCs w:val="0"/>
                <w:spacing w:val="0"/>
                <w:kern w:val="2"/>
                <w:sz w:val="21"/>
                <w:szCs w:val="21"/>
                <w:lang w:val="en-US" w:eastAsia="zh-CN" w:bidi="ar-SA"/>
              </w:rPr>
              <w:t>30</w:t>
            </w:r>
            <w:r>
              <w:rPr>
                <w:rFonts w:hint="eastAsia" w:ascii="Times New Roman" w:hAnsi="Times New Roman" w:eastAsia="宋体" w:cs="Times New Roman"/>
                <w:bCs w:val="0"/>
                <w:spacing w:val="0"/>
                <w:kern w:val="2"/>
                <w:sz w:val="21"/>
                <w:szCs w:val="21"/>
                <w:lang w:val="en-US" w:eastAsia="zh-CN" w:bidi="ar-SA"/>
              </w:rPr>
              <w:t>日进行了顾客满意度测量工作，</w:t>
            </w:r>
            <w:r>
              <w:rPr>
                <w:rFonts w:hint="eastAsia" w:ascii="Times New Roman" w:hAnsi="Times New Roman" w:eastAsia="宋体" w:cs="Times New Roman"/>
                <w:bCs w:val="0"/>
                <w:spacing w:val="0"/>
                <w:kern w:val="2"/>
                <w:sz w:val="21"/>
                <w:szCs w:val="21"/>
                <w:lang w:val="zh-CN" w:eastAsia="zh-CN" w:bidi="ar-SA"/>
              </w:rPr>
              <w:t>提供“客户满意度调查表”</w:t>
            </w:r>
            <w:r>
              <w:rPr>
                <w:rFonts w:hint="eastAsia" w:cs="Times New Roman"/>
                <w:bCs w:val="0"/>
                <w:spacing w:val="0"/>
                <w:kern w:val="2"/>
                <w:sz w:val="21"/>
                <w:szCs w:val="21"/>
                <w:lang w:val="en-US" w:eastAsia="zh-CN" w:bidi="ar-SA"/>
              </w:rPr>
              <w:t>6</w:t>
            </w:r>
            <w:r>
              <w:rPr>
                <w:rFonts w:hint="eastAsia" w:ascii="Times New Roman" w:hAnsi="Times New Roman" w:eastAsia="宋体" w:cs="Times New Roman"/>
                <w:bCs w:val="0"/>
                <w:spacing w:val="0"/>
                <w:kern w:val="2"/>
                <w:sz w:val="21"/>
                <w:szCs w:val="21"/>
                <w:lang w:val="en-US" w:eastAsia="zh-CN" w:bidi="ar-SA"/>
              </w:rPr>
              <w:t>份</w:t>
            </w:r>
            <w:r>
              <w:rPr>
                <w:rFonts w:hint="eastAsia" w:ascii="Times New Roman" w:hAnsi="Times New Roman" w:eastAsia="宋体" w:cs="Times New Roman"/>
                <w:bCs w:val="0"/>
                <w:spacing w:val="0"/>
                <w:kern w:val="2"/>
                <w:sz w:val="21"/>
                <w:szCs w:val="21"/>
                <w:lang w:val="zh-CN" w:eastAsia="zh-CN" w:bidi="ar-SA"/>
              </w:rPr>
              <w:t>，</w:t>
            </w:r>
            <w:r>
              <w:rPr>
                <w:rFonts w:hint="eastAsia" w:ascii="Times New Roman" w:hAnsi="Times New Roman" w:eastAsia="宋体" w:cs="Times New Roman"/>
                <w:bCs w:val="0"/>
                <w:spacing w:val="0"/>
                <w:kern w:val="2"/>
                <w:sz w:val="21"/>
                <w:szCs w:val="21"/>
                <w:lang w:val="en-US" w:eastAsia="zh-CN" w:bidi="ar-SA"/>
              </w:rPr>
              <w:t>平泉市平泉镇宏禄五金产品经销处、河北哈牡商贸有限公司等客户进行了调查，</w:t>
            </w:r>
            <w:r>
              <w:rPr>
                <w:rFonts w:hint="eastAsia" w:ascii="Times New Roman" w:hAnsi="Times New Roman" w:eastAsia="宋体" w:cs="Times New Roman"/>
                <w:bCs w:val="0"/>
                <w:spacing w:val="0"/>
                <w:kern w:val="2"/>
                <w:sz w:val="21"/>
                <w:szCs w:val="21"/>
                <w:lang w:val="zh-CN" w:eastAsia="zh-CN" w:bidi="ar-SA"/>
              </w:rPr>
              <w:t>调查主要内容：</w:t>
            </w:r>
            <w:r>
              <w:rPr>
                <w:rFonts w:hint="eastAsia" w:ascii="Times New Roman" w:hAnsi="Times New Roman" w:eastAsia="宋体" w:cs="Times New Roman"/>
                <w:bCs w:val="0"/>
                <w:spacing w:val="0"/>
                <w:kern w:val="2"/>
                <w:sz w:val="21"/>
                <w:szCs w:val="21"/>
                <w:lang w:val="en-US" w:eastAsia="zh-CN" w:bidi="ar-SA"/>
              </w:rPr>
              <w:t>产品质量，</w:t>
            </w:r>
            <w:r>
              <w:rPr>
                <w:rFonts w:hint="eastAsia" w:cs="Times New Roman"/>
                <w:bCs w:val="0"/>
                <w:spacing w:val="0"/>
                <w:kern w:val="2"/>
                <w:sz w:val="21"/>
                <w:szCs w:val="21"/>
                <w:lang w:val="en-US" w:eastAsia="zh-CN" w:bidi="ar-SA"/>
              </w:rPr>
              <w:t>价格</w:t>
            </w:r>
            <w:r>
              <w:rPr>
                <w:rFonts w:hint="eastAsia" w:ascii="Times New Roman" w:hAnsi="Times New Roman" w:eastAsia="宋体" w:cs="Times New Roman"/>
                <w:bCs w:val="0"/>
                <w:spacing w:val="0"/>
                <w:kern w:val="2"/>
                <w:sz w:val="21"/>
                <w:szCs w:val="21"/>
                <w:lang w:val="en-US" w:eastAsia="zh-CN" w:bidi="ar-SA"/>
              </w:rPr>
              <w:t>，</w:t>
            </w:r>
            <w:r>
              <w:rPr>
                <w:rFonts w:hint="eastAsia" w:cs="Times New Roman"/>
                <w:bCs w:val="0"/>
                <w:spacing w:val="0"/>
                <w:kern w:val="2"/>
                <w:sz w:val="21"/>
                <w:szCs w:val="21"/>
                <w:lang w:val="en-US" w:eastAsia="zh-CN" w:bidi="ar-SA"/>
              </w:rPr>
              <w:t>服务态度</w:t>
            </w:r>
            <w:r>
              <w:rPr>
                <w:rFonts w:hint="eastAsia" w:ascii="Times New Roman" w:hAnsi="Times New Roman" w:eastAsia="宋体" w:cs="Times New Roman"/>
                <w:bCs w:val="0"/>
                <w:spacing w:val="0"/>
                <w:kern w:val="2"/>
                <w:sz w:val="21"/>
                <w:szCs w:val="21"/>
                <w:lang w:val="en-US" w:eastAsia="zh-CN" w:bidi="ar-SA"/>
              </w:rPr>
              <w:t>，</w:t>
            </w:r>
            <w:r>
              <w:rPr>
                <w:rFonts w:hint="eastAsia" w:cs="Times New Roman"/>
                <w:bCs w:val="0"/>
                <w:spacing w:val="0"/>
                <w:kern w:val="2"/>
                <w:sz w:val="21"/>
                <w:szCs w:val="21"/>
                <w:lang w:val="en-US" w:eastAsia="zh-CN" w:bidi="ar-SA"/>
              </w:rPr>
              <w:t>技术能力等方面</w:t>
            </w:r>
            <w:r>
              <w:rPr>
                <w:rFonts w:hint="eastAsia" w:ascii="Times New Roman" w:hAnsi="Times New Roman" w:eastAsia="宋体" w:cs="Times New Roman"/>
                <w:bCs w:val="0"/>
                <w:spacing w:val="0"/>
                <w:kern w:val="2"/>
                <w:sz w:val="21"/>
                <w:szCs w:val="21"/>
                <w:lang w:val="zh-CN" w:eastAsia="zh-CN" w:bidi="ar-SA"/>
              </w:rPr>
              <w:t>，</w:t>
            </w:r>
            <w:r>
              <w:rPr>
                <w:rFonts w:hint="eastAsia" w:ascii="Times New Roman" w:hAnsi="Times New Roman" w:eastAsia="宋体" w:cs="Times New Roman"/>
                <w:bCs w:val="0"/>
                <w:spacing w:val="0"/>
                <w:kern w:val="2"/>
                <w:sz w:val="21"/>
                <w:szCs w:val="21"/>
                <w:lang w:val="en-US" w:eastAsia="zh-CN" w:bidi="ar-SA"/>
              </w:rPr>
              <w:t>各项得分求平均值得最终结果</w:t>
            </w:r>
            <w:r>
              <w:rPr>
                <w:rFonts w:hint="eastAsia" w:ascii="Times New Roman" w:hAnsi="Times New Roman" w:eastAsia="宋体" w:cs="Times New Roman"/>
                <w:bCs w:val="0"/>
                <w:spacing w:val="0"/>
                <w:kern w:val="2"/>
                <w:sz w:val="21"/>
                <w:szCs w:val="21"/>
                <w:lang w:val="zh-CN" w:eastAsia="zh-CN" w:bidi="ar-SA"/>
              </w:rPr>
              <w:t>。</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zh-CN" w:eastAsia="zh-CN" w:bidi="ar-SA"/>
              </w:rPr>
              <w:t>满意度调查进行了汇总，提供了《客户满意度分析统计表》，客户满意度最终得分</w:t>
            </w:r>
            <w:r>
              <w:rPr>
                <w:rFonts w:hint="eastAsia" w:cs="Times New Roman"/>
                <w:bCs w:val="0"/>
                <w:spacing w:val="0"/>
                <w:kern w:val="2"/>
                <w:sz w:val="21"/>
                <w:szCs w:val="21"/>
                <w:lang w:val="en-US" w:eastAsia="zh-CN" w:bidi="ar-SA"/>
              </w:rPr>
              <w:t>96%</w:t>
            </w:r>
            <w:r>
              <w:rPr>
                <w:rFonts w:hint="eastAsia" w:ascii="Times New Roman" w:hAnsi="Times New Roman" w:eastAsia="宋体" w:cs="Times New Roman"/>
                <w:bCs w:val="0"/>
                <w:spacing w:val="0"/>
                <w:kern w:val="2"/>
                <w:sz w:val="21"/>
                <w:szCs w:val="21"/>
                <w:lang w:val="zh-CN" w:eastAsia="zh-CN" w:bidi="ar-SA"/>
              </w:rPr>
              <w:t>。</w:t>
            </w:r>
          </w:p>
          <w:p>
            <w:pPr>
              <w:rPr>
                <w:rFonts w:hint="eastAsia"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该结果已提交管理评审。</w:t>
            </w:r>
          </w:p>
        </w:tc>
        <w:tc>
          <w:tcPr>
            <w:tcW w:w="1585" w:type="dxa"/>
          </w:tcPr>
          <w:p>
            <w:pPr>
              <w:rPr>
                <w:rFonts w:hint="default" w:ascii="Times New Roman" w:hAnsi="Times New Roman" w:eastAsia="宋体"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Y</w:t>
            </w:r>
          </w:p>
        </w:tc>
      </w:tr>
    </w:tbl>
    <w:p>
      <w:pPr>
        <w:rPr>
          <w:rFonts w:hint="eastAsia" w:ascii="Times New Roman" w:hAnsi="Times New Roman" w:eastAsia="宋体" w:cs="Times New Roman"/>
          <w:bCs w:val="0"/>
          <w:spacing w:val="0"/>
          <w:kern w:val="2"/>
          <w:sz w:val="24"/>
          <w:szCs w:val="24"/>
          <w:lang w:val="en-US" w:eastAsia="zh-CN" w:bidi="ar-SA"/>
        </w:rPr>
      </w:pPr>
    </w:p>
    <w:p>
      <w:pPr>
        <w:pStyle w:val="8"/>
        <w:rPr>
          <w:rFonts w:hint="eastAsia" w:eastAsia="宋体"/>
          <w:lang w:eastAsia="zh-CN"/>
        </w:rPr>
      </w:pPr>
      <w:r>
        <w:rPr>
          <w:rFonts w:hint="eastAsia"/>
          <w:lang w:eastAsia="zh-CN"/>
        </w:rPr>
        <w:t>注：不符合标注“</w:t>
      </w:r>
      <w:r>
        <w:rPr>
          <w:rFonts w:hint="eastAsia"/>
          <w:lang w:val="en-US" w:eastAsia="zh-CN"/>
        </w:rPr>
        <w:t>N</w:t>
      </w:r>
      <w:r>
        <w:rPr>
          <w:rFonts w:hint="eastAsia"/>
          <w:lang w:eastAsia="zh-CN"/>
        </w:rPr>
        <w:t>”</w:t>
      </w:r>
    </w:p>
    <w:p>
      <w:pPr>
        <w:pStyle w:val="8"/>
        <w:rPr>
          <w:rFonts w:hint="eastAsia"/>
        </w:rPr>
      </w:pPr>
    </w:p>
    <w:p>
      <w:pPr>
        <w:pStyle w:val="8"/>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7879080</wp:posOffset>
              </wp:positionH>
              <wp:positionV relativeFrom="paragraph">
                <wp:posOffset>159385</wp:posOffset>
              </wp:positionV>
              <wp:extent cx="1304290" cy="256540"/>
              <wp:effectExtent l="0" t="0" r="3810" b="10160"/>
              <wp:wrapNone/>
              <wp:docPr id="1" name="文本框 1"/>
              <wp:cNvGraphicFramePr/>
              <a:graphic xmlns:a="http://schemas.openxmlformats.org/drawingml/2006/main">
                <a:graphicData uri="http://schemas.microsoft.com/office/word/2010/wordprocessingShape">
                  <wps:wsp>
                    <wps:cNvSpPr txBox="1"/>
                    <wps:spPr>
                      <a:xfrm>
                        <a:off x="0" y="0"/>
                        <a:ext cx="1304290" cy="256540"/>
                      </a:xfrm>
                      <a:prstGeom prst="rect">
                        <a:avLst/>
                      </a:prstGeom>
                      <a:solidFill>
                        <a:srgbClr val="FFFFFF"/>
                      </a:solidFill>
                      <a:ln>
                        <a:noFill/>
                      </a:ln>
                    </wps:spPr>
                    <wps:txbx>
                      <w:txbxContent>
                        <w:p>
                          <w:pPr>
                            <w:rPr>
                              <w:sz w:val="18"/>
                              <w:szCs w:val="18"/>
                            </w:rPr>
                          </w:pPr>
                          <w:r>
                            <w:rPr>
                              <w:rFonts w:hint="eastAsia"/>
                              <w:sz w:val="18"/>
                              <w:szCs w:val="18"/>
                            </w:rPr>
                            <w:t>ISC-B-II-12(05版）</w:t>
                          </w:r>
                        </w:p>
                      </w:txbxContent>
                    </wps:txbx>
                    <wps:bodyPr upright="1"/>
                  </wps:wsp>
                </a:graphicData>
              </a:graphic>
            </wp:anchor>
          </w:drawing>
        </mc:Choice>
        <mc:Fallback>
          <w:pict>
            <v:shape id="_x0000_s1026" o:spid="_x0000_s1026" o:spt="202" type="#_x0000_t202" style="position:absolute;left:0pt;margin-left:620.4pt;margin-top:12.55pt;height:20.2pt;width:102.7pt;z-index:251659264;mso-width-relative:page;mso-height-relative:page;" fillcolor="#FFFFFF" filled="t" stroked="f" coordsize="21600,21600" o:gfxdata="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CQfhE2AAAAAsBAAAPAAAAAAAAAAEAIAAAACIAAABkcnMvZG93bnJldi54&#10;bWxQSwECFAAUAAAACACHTuJAZsEoGMEBAAB3AwAADgAAAAAAAAABACAAAAAnAQAAZHJzL2Uyb0Rv&#10;Yy54bWxQSwUGAAAAAAYABgBZAQAAWgUAAAAA&#10;">
              <v:fill on="t" focussize="0,0"/>
              <v:stroke on="f"/>
              <v:imagedata o:title=""/>
              <o:lock v:ext="edit" aspectratio="f"/>
              <v:textbox>
                <w:txbxContent>
                  <w:p>
                    <w:pPr>
                      <w:rPr>
                        <w:sz w:val="18"/>
                        <w:szCs w:val="18"/>
                      </w:rPr>
                    </w:pPr>
                    <w:r>
                      <w:rPr>
                        <w:rFonts w:hint="eastAsia"/>
                        <w:sz w:val="18"/>
                        <w:szCs w:val="18"/>
                      </w:rPr>
                      <w:t>ISC-B-II-12(05版）</w:t>
                    </w:r>
                  </w:p>
                </w:txbxContent>
              </v:textbox>
            </v:shape>
          </w:pict>
        </mc:Fallback>
      </mc:AlternateConten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MmNiNTA4Y2RiYTNkMzhmODU1Yjg5OTYxMzY5NzMifQ=="/>
  </w:docVars>
  <w:rsids>
    <w:rsidRoot w:val="00000000"/>
    <w:rsid w:val="00013654"/>
    <w:rsid w:val="001F1D2C"/>
    <w:rsid w:val="005714C6"/>
    <w:rsid w:val="00827B13"/>
    <w:rsid w:val="00E448D4"/>
    <w:rsid w:val="011078C7"/>
    <w:rsid w:val="013E61E2"/>
    <w:rsid w:val="018362EB"/>
    <w:rsid w:val="01D11448"/>
    <w:rsid w:val="022E31E6"/>
    <w:rsid w:val="0233386D"/>
    <w:rsid w:val="02445A7A"/>
    <w:rsid w:val="025B2DC4"/>
    <w:rsid w:val="0261662C"/>
    <w:rsid w:val="028D1F0F"/>
    <w:rsid w:val="02BB4F8D"/>
    <w:rsid w:val="032000D3"/>
    <w:rsid w:val="03595555"/>
    <w:rsid w:val="03C54999"/>
    <w:rsid w:val="03E65F01"/>
    <w:rsid w:val="0416753B"/>
    <w:rsid w:val="04333FF8"/>
    <w:rsid w:val="053472A6"/>
    <w:rsid w:val="053B7608"/>
    <w:rsid w:val="05DD06BF"/>
    <w:rsid w:val="0607573C"/>
    <w:rsid w:val="06420522"/>
    <w:rsid w:val="06E11AE9"/>
    <w:rsid w:val="06E810D0"/>
    <w:rsid w:val="07013F3A"/>
    <w:rsid w:val="07A656A9"/>
    <w:rsid w:val="07C66F31"/>
    <w:rsid w:val="08513A4A"/>
    <w:rsid w:val="085F70C6"/>
    <w:rsid w:val="087D5842"/>
    <w:rsid w:val="088968DD"/>
    <w:rsid w:val="092A7093"/>
    <w:rsid w:val="09554A11"/>
    <w:rsid w:val="09EC5038"/>
    <w:rsid w:val="09ED2377"/>
    <w:rsid w:val="09F204B1"/>
    <w:rsid w:val="0A160735"/>
    <w:rsid w:val="0A1C72DC"/>
    <w:rsid w:val="0A5E78F5"/>
    <w:rsid w:val="0A952398"/>
    <w:rsid w:val="0A9B3267"/>
    <w:rsid w:val="0AD96F7B"/>
    <w:rsid w:val="0B112BB9"/>
    <w:rsid w:val="0B446AEB"/>
    <w:rsid w:val="0B6131F9"/>
    <w:rsid w:val="0B71273B"/>
    <w:rsid w:val="0C676F35"/>
    <w:rsid w:val="0CAA5073"/>
    <w:rsid w:val="0CAF61E6"/>
    <w:rsid w:val="0CEC1C98"/>
    <w:rsid w:val="0D026C5D"/>
    <w:rsid w:val="0D0C3638"/>
    <w:rsid w:val="0D352B8F"/>
    <w:rsid w:val="0DC363ED"/>
    <w:rsid w:val="0DEB76F2"/>
    <w:rsid w:val="0E8B182E"/>
    <w:rsid w:val="0E9E29B6"/>
    <w:rsid w:val="0ED63EFE"/>
    <w:rsid w:val="0EE9262B"/>
    <w:rsid w:val="0F364782"/>
    <w:rsid w:val="0F6F5E61"/>
    <w:rsid w:val="0F713C26"/>
    <w:rsid w:val="0FBA3760"/>
    <w:rsid w:val="0FF24D67"/>
    <w:rsid w:val="0FFD54BA"/>
    <w:rsid w:val="1070092E"/>
    <w:rsid w:val="11052B5A"/>
    <w:rsid w:val="1122167C"/>
    <w:rsid w:val="117614BA"/>
    <w:rsid w:val="11763776"/>
    <w:rsid w:val="12666FD3"/>
    <w:rsid w:val="126F08F1"/>
    <w:rsid w:val="12A54313"/>
    <w:rsid w:val="12E76701"/>
    <w:rsid w:val="12F554FB"/>
    <w:rsid w:val="1424261C"/>
    <w:rsid w:val="14DC2CD6"/>
    <w:rsid w:val="15086DDB"/>
    <w:rsid w:val="1525173B"/>
    <w:rsid w:val="15923292"/>
    <w:rsid w:val="168801D3"/>
    <w:rsid w:val="16927B48"/>
    <w:rsid w:val="169923E1"/>
    <w:rsid w:val="16BF34C9"/>
    <w:rsid w:val="16D36F75"/>
    <w:rsid w:val="16F13135"/>
    <w:rsid w:val="170068D3"/>
    <w:rsid w:val="1787048B"/>
    <w:rsid w:val="17BF60B6"/>
    <w:rsid w:val="17D5451B"/>
    <w:rsid w:val="17E717E0"/>
    <w:rsid w:val="18196493"/>
    <w:rsid w:val="182B350C"/>
    <w:rsid w:val="183323C1"/>
    <w:rsid w:val="185F79E5"/>
    <w:rsid w:val="18C96881"/>
    <w:rsid w:val="18ED2570"/>
    <w:rsid w:val="193A0F3F"/>
    <w:rsid w:val="19FD1CEF"/>
    <w:rsid w:val="1A1F513E"/>
    <w:rsid w:val="1A8635C8"/>
    <w:rsid w:val="1B740D26"/>
    <w:rsid w:val="1BCA6B98"/>
    <w:rsid w:val="1BE0460E"/>
    <w:rsid w:val="1BEA0FE8"/>
    <w:rsid w:val="1C026332"/>
    <w:rsid w:val="1C5172BA"/>
    <w:rsid w:val="1C8E6111"/>
    <w:rsid w:val="1CB17D58"/>
    <w:rsid w:val="1DB25B36"/>
    <w:rsid w:val="1DC51585"/>
    <w:rsid w:val="1DFE521F"/>
    <w:rsid w:val="1E2F298D"/>
    <w:rsid w:val="1E3E5A13"/>
    <w:rsid w:val="1E890F8D"/>
    <w:rsid w:val="1F136AA8"/>
    <w:rsid w:val="1F1F71FB"/>
    <w:rsid w:val="1F740D38"/>
    <w:rsid w:val="1FB931AC"/>
    <w:rsid w:val="1FBE6A14"/>
    <w:rsid w:val="201900EE"/>
    <w:rsid w:val="205F63D2"/>
    <w:rsid w:val="20F46465"/>
    <w:rsid w:val="21661111"/>
    <w:rsid w:val="21947BAF"/>
    <w:rsid w:val="219519F6"/>
    <w:rsid w:val="21AF0DFB"/>
    <w:rsid w:val="21CF4F08"/>
    <w:rsid w:val="21E5472C"/>
    <w:rsid w:val="22364F87"/>
    <w:rsid w:val="226D55B8"/>
    <w:rsid w:val="22BF6717"/>
    <w:rsid w:val="22FB3FA8"/>
    <w:rsid w:val="2302130E"/>
    <w:rsid w:val="23231A73"/>
    <w:rsid w:val="234C2589"/>
    <w:rsid w:val="237017BB"/>
    <w:rsid w:val="238D507B"/>
    <w:rsid w:val="23A83C63"/>
    <w:rsid w:val="23D031BA"/>
    <w:rsid w:val="244D480A"/>
    <w:rsid w:val="24656C1B"/>
    <w:rsid w:val="247E2C16"/>
    <w:rsid w:val="248F097F"/>
    <w:rsid w:val="24FD1D8D"/>
    <w:rsid w:val="250336C8"/>
    <w:rsid w:val="251C7F7B"/>
    <w:rsid w:val="25AA523A"/>
    <w:rsid w:val="25D7082F"/>
    <w:rsid w:val="261F20D3"/>
    <w:rsid w:val="26792A64"/>
    <w:rsid w:val="26CB1A16"/>
    <w:rsid w:val="277976C4"/>
    <w:rsid w:val="27D05536"/>
    <w:rsid w:val="27D112AE"/>
    <w:rsid w:val="28170541"/>
    <w:rsid w:val="28893937"/>
    <w:rsid w:val="28A80261"/>
    <w:rsid w:val="28E74AAC"/>
    <w:rsid w:val="2A0B4F4C"/>
    <w:rsid w:val="2A1D74B6"/>
    <w:rsid w:val="2A306760"/>
    <w:rsid w:val="2A685EFA"/>
    <w:rsid w:val="2A9156A2"/>
    <w:rsid w:val="2A9A1E2C"/>
    <w:rsid w:val="2AA040BA"/>
    <w:rsid w:val="2AB90504"/>
    <w:rsid w:val="2B612949"/>
    <w:rsid w:val="2BCA6741"/>
    <w:rsid w:val="2C2A302A"/>
    <w:rsid w:val="2C4209CD"/>
    <w:rsid w:val="2C772424"/>
    <w:rsid w:val="2C8903AA"/>
    <w:rsid w:val="2CE90E48"/>
    <w:rsid w:val="2D7D2598"/>
    <w:rsid w:val="2D8A262B"/>
    <w:rsid w:val="2E2C723F"/>
    <w:rsid w:val="2ED022C0"/>
    <w:rsid w:val="2EF82EA4"/>
    <w:rsid w:val="2F805A94"/>
    <w:rsid w:val="2FD7142C"/>
    <w:rsid w:val="2FD858D0"/>
    <w:rsid w:val="30246C81"/>
    <w:rsid w:val="309F019C"/>
    <w:rsid w:val="31353B3B"/>
    <w:rsid w:val="31C205E6"/>
    <w:rsid w:val="323D71D6"/>
    <w:rsid w:val="32A72670"/>
    <w:rsid w:val="32A74481"/>
    <w:rsid w:val="32D85BE7"/>
    <w:rsid w:val="33CC5F8E"/>
    <w:rsid w:val="340C5B48"/>
    <w:rsid w:val="34B9286C"/>
    <w:rsid w:val="34CE54F3"/>
    <w:rsid w:val="34CE72A2"/>
    <w:rsid w:val="34F565DC"/>
    <w:rsid w:val="35026F4B"/>
    <w:rsid w:val="35B46497"/>
    <w:rsid w:val="35FB40C6"/>
    <w:rsid w:val="365B1201"/>
    <w:rsid w:val="367D0F7F"/>
    <w:rsid w:val="36AB40E2"/>
    <w:rsid w:val="36EC6E3D"/>
    <w:rsid w:val="36F646A5"/>
    <w:rsid w:val="36FB00F6"/>
    <w:rsid w:val="373B04F2"/>
    <w:rsid w:val="373D42AF"/>
    <w:rsid w:val="37411FAD"/>
    <w:rsid w:val="37865C12"/>
    <w:rsid w:val="379522F8"/>
    <w:rsid w:val="37AD13F0"/>
    <w:rsid w:val="37F742DF"/>
    <w:rsid w:val="386D0B7F"/>
    <w:rsid w:val="38807E5C"/>
    <w:rsid w:val="388F4AC7"/>
    <w:rsid w:val="38E36B3A"/>
    <w:rsid w:val="391334D5"/>
    <w:rsid w:val="3968535B"/>
    <w:rsid w:val="398E6FFF"/>
    <w:rsid w:val="39A14F85"/>
    <w:rsid w:val="39FD5F33"/>
    <w:rsid w:val="3A015A23"/>
    <w:rsid w:val="3A2C579E"/>
    <w:rsid w:val="3A2D5EA0"/>
    <w:rsid w:val="3A56723A"/>
    <w:rsid w:val="3B1E3282"/>
    <w:rsid w:val="3B334302"/>
    <w:rsid w:val="3B7641EF"/>
    <w:rsid w:val="3B8C3A12"/>
    <w:rsid w:val="3BB371F1"/>
    <w:rsid w:val="3BCE7B87"/>
    <w:rsid w:val="3C147E29"/>
    <w:rsid w:val="3C3D6ABB"/>
    <w:rsid w:val="3C5E51C3"/>
    <w:rsid w:val="3CB40EF3"/>
    <w:rsid w:val="3D42082D"/>
    <w:rsid w:val="3D7B789B"/>
    <w:rsid w:val="3DC21146"/>
    <w:rsid w:val="3DFA6FA5"/>
    <w:rsid w:val="3E66679D"/>
    <w:rsid w:val="3ECD64F8"/>
    <w:rsid w:val="3EE71B56"/>
    <w:rsid w:val="3F0D6C18"/>
    <w:rsid w:val="3F3B5533"/>
    <w:rsid w:val="3F5D194E"/>
    <w:rsid w:val="3F852C53"/>
    <w:rsid w:val="40041DC9"/>
    <w:rsid w:val="40714F85"/>
    <w:rsid w:val="41016D79"/>
    <w:rsid w:val="412F7925"/>
    <w:rsid w:val="41463C47"/>
    <w:rsid w:val="417411D1"/>
    <w:rsid w:val="418A27A2"/>
    <w:rsid w:val="41931657"/>
    <w:rsid w:val="423C1CEE"/>
    <w:rsid w:val="42415ACC"/>
    <w:rsid w:val="42507548"/>
    <w:rsid w:val="4296435D"/>
    <w:rsid w:val="42CD1E63"/>
    <w:rsid w:val="43CA280D"/>
    <w:rsid w:val="44316F05"/>
    <w:rsid w:val="445552E9"/>
    <w:rsid w:val="4461660D"/>
    <w:rsid w:val="44C14DFA"/>
    <w:rsid w:val="44D83825"/>
    <w:rsid w:val="45533F2D"/>
    <w:rsid w:val="457F63EC"/>
    <w:rsid w:val="458319E2"/>
    <w:rsid w:val="45B24076"/>
    <w:rsid w:val="45BC2AC4"/>
    <w:rsid w:val="45C73FC5"/>
    <w:rsid w:val="4674757D"/>
    <w:rsid w:val="47061B43"/>
    <w:rsid w:val="473B58A4"/>
    <w:rsid w:val="480A3EF4"/>
    <w:rsid w:val="480F1EC9"/>
    <w:rsid w:val="48126F55"/>
    <w:rsid w:val="48141018"/>
    <w:rsid w:val="48561630"/>
    <w:rsid w:val="486D24D6"/>
    <w:rsid w:val="489939B2"/>
    <w:rsid w:val="48DF5182"/>
    <w:rsid w:val="49465201"/>
    <w:rsid w:val="498875C7"/>
    <w:rsid w:val="49C354C1"/>
    <w:rsid w:val="49D75781"/>
    <w:rsid w:val="49E54A1A"/>
    <w:rsid w:val="49EA3C1F"/>
    <w:rsid w:val="4A1A3609"/>
    <w:rsid w:val="4A396B13"/>
    <w:rsid w:val="4A4D25BF"/>
    <w:rsid w:val="4A647922"/>
    <w:rsid w:val="4A8A6194"/>
    <w:rsid w:val="4AD0206A"/>
    <w:rsid w:val="4B2B6DA4"/>
    <w:rsid w:val="4C0F3FD0"/>
    <w:rsid w:val="4C14361A"/>
    <w:rsid w:val="4C5B0FC3"/>
    <w:rsid w:val="4CD07C03"/>
    <w:rsid w:val="4CDB65A8"/>
    <w:rsid w:val="4D0E4287"/>
    <w:rsid w:val="4D20220D"/>
    <w:rsid w:val="4D3C320F"/>
    <w:rsid w:val="4DB42272"/>
    <w:rsid w:val="4DFA5872"/>
    <w:rsid w:val="4E3272FE"/>
    <w:rsid w:val="4E630603"/>
    <w:rsid w:val="4E8567CB"/>
    <w:rsid w:val="4E99027A"/>
    <w:rsid w:val="4EFB4CDF"/>
    <w:rsid w:val="4FE92D8A"/>
    <w:rsid w:val="507C59AC"/>
    <w:rsid w:val="508D1E06"/>
    <w:rsid w:val="50CD0D54"/>
    <w:rsid w:val="50DD28EE"/>
    <w:rsid w:val="50EC2B32"/>
    <w:rsid w:val="51087240"/>
    <w:rsid w:val="510C31D4"/>
    <w:rsid w:val="514209A3"/>
    <w:rsid w:val="519A6FAF"/>
    <w:rsid w:val="51CD5E78"/>
    <w:rsid w:val="520B7076"/>
    <w:rsid w:val="525A3ACB"/>
    <w:rsid w:val="526D37FE"/>
    <w:rsid w:val="529D0C02"/>
    <w:rsid w:val="52D675F5"/>
    <w:rsid w:val="535B5D4C"/>
    <w:rsid w:val="538F3C48"/>
    <w:rsid w:val="53B84F4D"/>
    <w:rsid w:val="54CE3AA7"/>
    <w:rsid w:val="54E57FC4"/>
    <w:rsid w:val="54F2189F"/>
    <w:rsid w:val="54F4122A"/>
    <w:rsid w:val="55CD2D3D"/>
    <w:rsid w:val="56243ACD"/>
    <w:rsid w:val="56B714EC"/>
    <w:rsid w:val="56D95B7F"/>
    <w:rsid w:val="57120E18"/>
    <w:rsid w:val="572052E3"/>
    <w:rsid w:val="572528F9"/>
    <w:rsid w:val="579B0E0D"/>
    <w:rsid w:val="57B675EE"/>
    <w:rsid w:val="57C32112"/>
    <w:rsid w:val="57F55B48"/>
    <w:rsid w:val="583C23E5"/>
    <w:rsid w:val="585F3F28"/>
    <w:rsid w:val="586451B5"/>
    <w:rsid w:val="5895585D"/>
    <w:rsid w:val="58B6732D"/>
    <w:rsid w:val="58D2260D"/>
    <w:rsid w:val="58F46A27"/>
    <w:rsid w:val="59407EBE"/>
    <w:rsid w:val="596516D3"/>
    <w:rsid w:val="59945B14"/>
    <w:rsid w:val="5A074538"/>
    <w:rsid w:val="5A64198B"/>
    <w:rsid w:val="5A930319"/>
    <w:rsid w:val="5AB75F5E"/>
    <w:rsid w:val="5B062A42"/>
    <w:rsid w:val="5B7756EE"/>
    <w:rsid w:val="5BCA586A"/>
    <w:rsid w:val="5C515CA6"/>
    <w:rsid w:val="5CAD7D38"/>
    <w:rsid w:val="5D6C2870"/>
    <w:rsid w:val="5DAA1DAA"/>
    <w:rsid w:val="5DEA7F80"/>
    <w:rsid w:val="5E062D59"/>
    <w:rsid w:val="5E28378F"/>
    <w:rsid w:val="5E535813"/>
    <w:rsid w:val="5E912F6A"/>
    <w:rsid w:val="5EBD3D5F"/>
    <w:rsid w:val="5EC46E9C"/>
    <w:rsid w:val="5EE10C91"/>
    <w:rsid w:val="60553502"/>
    <w:rsid w:val="607A3D8D"/>
    <w:rsid w:val="60912DAE"/>
    <w:rsid w:val="60AD1DFC"/>
    <w:rsid w:val="60CF36F6"/>
    <w:rsid w:val="60F56A97"/>
    <w:rsid w:val="61204131"/>
    <w:rsid w:val="617050B9"/>
    <w:rsid w:val="618C33ED"/>
    <w:rsid w:val="61A42FB4"/>
    <w:rsid w:val="623C4F9B"/>
    <w:rsid w:val="62FA10DE"/>
    <w:rsid w:val="633769A9"/>
    <w:rsid w:val="635D069E"/>
    <w:rsid w:val="637B48FF"/>
    <w:rsid w:val="63E94CAF"/>
    <w:rsid w:val="641E6E0A"/>
    <w:rsid w:val="64393E88"/>
    <w:rsid w:val="6485002B"/>
    <w:rsid w:val="649E3CEB"/>
    <w:rsid w:val="64AF7CA6"/>
    <w:rsid w:val="64BA3F18"/>
    <w:rsid w:val="64E04304"/>
    <w:rsid w:val="65856C59"/>
    <w:rsid w:val="65D11E9E"/>
    <w:rsid w:val="66285F62"/>
    <w:rsid w:val="663A7A43"/>
    <w:rsid w:val="665A078F"/>
    <w:rsid w:val="666735ED"/>
    <w:rsid w:val="670E33AA"/>
    <w:rsid w:val="67786A75"/>
    <w:rsid w:val="680F6B7F"/>
    <w:rsid w:val="681A5D7E"/>
    <w:rsid w:val="683F57E5"/>
    <w:rsid w:val="68582403"/>
    <w:rsid w:val="691E5BA6"/>
    <w:rsid w:val="69277AD1"/>
    <w:rsid w:val="695D23C7"/>
    <w:rsid w:val="69992CD3"/>
    <w:rsid w:val="69C53AC8"/>
    <w:rsid w:val="69C9180A"/>
    <w:rsid w:val="6A082AC6"/>
    <w:rsid w:val="6A2829D5"/>
    <w:rsid w:val="6AE85CC0"/>
    <w:rsid w:val="6B0A20DA"/>
    <w:rsid w:val="6B0B7C00"/>
    <w:rsid w:val="6B5B46E4"/>
    <w:rsid w:val="6B9136FA"/>
    <w:rsid w:val="6BDF70C3"/>
    <w:rsid w:val="6BEF1186"/>
    <w:rsid w:val="6BF9053F"/>
    <w:rsid w:val="6C376EFF"/>
    <w:rsid w:val="6C3D4C22"/>
    <w:rsid w:val="6C47110C"/>
    <w:rsid w:val="6C8726F7"/>
    <w:rsid w:val="6C8D26AC"/>
    <w:rsid w:val="6CE93F71"/>
    <w:rsid w:val="6CEF1CA7"/>
    <w:rsid w:val="6D0D7DE6"/>
    <w:rsid w:val="6D724208"/>
    <w:rsid w:val="6D921C73"/>
    <w:rsid w:val="6DCE3893"/>
    <w:rsid w:val="6E494CC8"/>
    <w:rsid w:val="6E5555DC"/>
    <w:rsid w:val="6F3E67F6"/>
    <w:rsid w:val="6F5979D7"/>
    <w:rsid w:val="6FA84376"/>
    <w:rsid w:val="70087110"/>
    <w:rsid w:val="703A5210"/>
    <w:rsid w:val="70903082"/>
    <w:rsid w:val="7098123B"/>
    <w:rsid w:val="70D17DAD"/>
    <w:rsid w:val="71070737"/>
    <w:rsid w:val="716D5171"/>
    <w:rsid w:val="71A0360A"/>
    <w:rsid w:val="71AF7537"/>
    <w:rsid w:val="72DE0805"/>
    <w:rsid w:val="73452899"/>
    <w:rsid w:val="735071F1"/>
    <w:rsid w:val="73702CF6"/>
    <w:rsid w:val="74324450"/>
    <w:rsid w:val="74CE5F27"/>
    <w:rsid w:val="75610B49"/>
    <w:rsid w:val="76275304"/>
    <w:rsid w:val="765B5EE0"/>
    <w:rsid w:val="76901DB2"/>
    <w:rsid w:val="76FB1E6F"/>
    <w:rsid w:val="775070C7"/>
    <w:rsid w:val="780B56E4"/>
    <w:rsid w:val="78216CB5"/>
    <w:rsid w:val="785250C1"/>
    <w:rsid w:val="78882890"/>
    <w:rsid w:val="78911745"/>
    <w:rsid w:val="789D7B19"/>
    <w:rsid w:val="78E57CE3"/>
    <w:rsid w:val="78EB3317"/>
    <w:rsid w:val="79254583"/>
    <w:rsid w:val="792C3B64"/>
    <w:rsid w:val="7936053E"/>
    <w:rsid w:val="79D33FDF"/>
    <w:rsid w:val="79E65AC0"/>
    <w:rsid w:val="79F0693F"/>
    <w:rsid w:val="79FF06C1"/>
    <w:rsid w:val="7A186697"/>
    <w:rsid w:val="7A2931E5"/>
    <w:rsid w:val="7A9B4AFD"/>
    <w:rsid w:val="7AA8546C"/>
    <w:rsid w:val="7AEC0927"/>
    <w:rsid w:val="7B931C78"/>
    <w:rsid w:val="7BDD535C"/>
    <w:rsid w:val="7C8F3808"/>
    <w:rsid w:val="7CA659DB"/>
    <w:rsid w:val="7CAA2823"/>
    <w:rsid w:val="7CC16371"/>
    <w:rsid w:val="7CDE6F23"/>
    <w:rsid w:val="7CF46746"/>
    <w:rsid w:val="7D8A0E59"/>
    <w:rsid w:val="7DAE00ED"/>
    <w:rsid w:val="7DE7443E"/>
    <w:rsid w:val="7E0E1A8A"/>
    <w:rsid w:val="7E0F4C67"/>
    <w:rsid w:val="7E372D8F"/>
    <w:rsid w:val="7E3C2153"/>
    <w:rsid w:val="7E3F39F1"/>
    <w:rsid w:val="7E555ACA"/>
    <w:rsid w:val="7ECE4181"/>
    <w:rsid w:val="7EE724FF"/>
    <w:rsid w:val="7EFC3D40"/>
    <w:rsid w:val="7EFE38AC"/>
    <w:rsid w:val="7F1F3593"/>
    <w:rsid w:val="7F2F1CB8"/>
    <w:rsid w:val="7F4514DB"/>
    <w:rsid w:val="7F9935D5"/>
    <w:rsid w:val="7F9E4FC7"/>
    <w:rsid w:val="7FC0534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1"/>
    <w:pPr>
      <w:spacing w:before="14"/>
      <w:outlineLvl w:val="1"/>
    </w:pPr>
    <w:rPr>
      <w:rFonts w:ascii="宋体" w:hAnsi="宋体" w:eastAsia="宋体"/>
      <w:b/>
      <w:bCs/>
      <w:sz w:val="28"/>
      <w:szCs w:val="28"/>
    </w:rPr>
  </w:style>
  <w:style w:type="paragraph" w:styleId="4">
    <w:name w:val="heading 4"/>
    <w:basedOn w:val="1"/>
    <w:next w:val="5"/>
    <w:qFormat/>
    <w:uiPriority w:val="0"/>
    <w:pPr>
      <w:keepNext/>
      <w:widowControl/>
      <w:jc w:val="center"/>
      <w:outlineLvl w:val="3"/>
    </w:pPr>
    <w:rPr>
      <w:rFonts w:ascii="Arial Black" w:hAnsi="Arial Black"/>
      <w:kern w:val="0"/>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next w:val="4"/>
    <w:qFormat/>
    <w:uiPriority w:val="0"/>
    <w:pPr>
      <w:adjustRightInd w:val="0"/>
      <w:spacing w:line="360" w:lineRule="atLeast"/>
      <w:ind w:left="480"/>
      <w:textAlignment w:val="baseline"/>
    </w:pPr>
    <w:rPr>
      <w:kern w:val="0"/>
    </w:rPr>
  </w:style>
  <w:style w:type="paragraph" w:styleId="6">
    <w:name w:val="Body Text"/>
    <w:basedOn w:val="1"/>
    <w:qFormat/>
    <w:uiPriority w:val="0"/>
    <w:pPr>
      <w:spacing w:after="120"/>
    </w:pPr>
    <w:rPr>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kern w:val="0"/>
      <w:sz w:val="24"/>
      <w:lang w:val="en-US"/>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338DE6"/>
      <w:u w:val="none"/>
    </w:rPr>
  </w:style>
  <w:style w:type="paragraph" w:customStyle="1" w:styleId="14">
    <w:name w:val="正文 首行缩进:  2 字符"/>
    <w:basedOn w:val="1"/>
    <w:qFormat/>
    <w:uiPriority w:val="0"/>
    <w:pPr>
      <w:ind w:firstLine="200" w:firstLineChars="200"/>
    </w:pPr>
    <w:rPr>
      <w:rFonts w:cs="宋体"/>
      <w:sz w:val="24"/>
      <w:szCs w:val="20"/>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2"/>
    <w:link w:val="2"/>
    <w:qFormat/>
    <w:uiPriority w:val="99"/>
    <w:rPr>
      <w:rFonts w:ascii="Times New Roman" w:hAnsi="Times New Roman" w:eastAsia="宋体" w:cs="Times New Roman"/>
      <w:sz w:val="18"/>
      <w:szCs w:val="18"/>
    </w:rPr>
  </w:style>
  <w:style w:type="character" w:customStyle="1" w:styleId="17">
    <w:name w:val="页脚 Char"/>
    <w:basedOn w:val="12"/>
    <w:link w:val="8"/>
    <w:qFormat/>
    <w:uiPriority w:val="99"/>
    <w:rPr>
      <w:rFonts w:ascii="Times New Roman" w:hAnsi="Times New Roman" w:eastAsia="宋体" w:cs="Times New Roman"/>
      <w:sz w:val="18"/>
      <w:szCs w:val="18"/>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8458</Words>
  <Characters>9074</Characters>
  <Lines>1</Lines>
  <Paragraphs>1</Paragraphs>
  <TotalTime>5</TotalTime>
  <ScaleCrop>false</ScaleCrop>
  <LinksUpToDate>false</LinksUpToDate>
  <CharactersWithSpaces>9460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2022-06-02T03:56:03Z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