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江西渡海科技有限公司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0144-2020-QEO-2022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章舒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生产地址：江西省樟树市金属产业创业园经开西四路西侧/经营地址：江西省樟树市四特大道305号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章舒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0795-7329329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0795-7329329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Q：佛龛存放架、骨灰存放架、牌位架的生产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E：佛龛存放架、骨灰存放架、牌位架的生产及所涉及的相关环境管理活动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O：佛龛存放架、骨灰存放架、牌位架的生产及所涉及的相关职业健康安全管理活动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W w:w="1040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6"/>
              <w:gridCol w:w="1288"/>
              <w:gridCol w:w="1037"/>
              <w:gridCol w:w="6800"/>
              <w:gridCol w:w="6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部门</w:t>
                  </w: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过程、涉及条款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审核人员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restart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5.30</w:t>
                  </w: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09:00-09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: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837" w:type="dxa"/>
                  <w:gridSpan w:val="2"/>
                  <w:vAlign w:val="center"/>
                </w:tcPr>
                <w:p>
                  <w:pPr>
                    <w:spacing w:line="280" w:lineRule="exact"/>
                    <w:ind w:firstLine="422" w:firstLineChars="200"/>
                    <w:jc w:val="center"/>
                    <w:rPr>
                      <w:rFonts w:ascii="宋体" w:cs="Arial"/>
                      <w:spacing w:val="-6"/>
                      <w:szCs w:val="24"/>
                    </w:rPr>
                  </w:pPr>
                  <w:r>
                    <w:rPr>
                      <w:rFonts w:hint="eastAsia" w:ascii="宋体" w:hAnsi="宋体"/>
                      <w:b/>
                      <w:szCs w:val="24"/>
                    </w:rPr>
                    <w:t>首次会议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09:30-10:00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asci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管理层、安全事务代表</w:t>
                  </w:r>
                </w:p>
                <w:p>
                  <w:pPr>
                    <w:spacing w:line="300" w:lineRule="exact"/>
                    <w:jc w:val="lef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B审核QE条款、A审核O条款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QEO:4.1理解组织及其环境、4.2理解相关方的需求和期望、4.3 确定管理体系的范围、4.4质量/环境管理体系及其过程、5.1领导作用和承诺、5.2质量/环境/职业健康安全方针、5.3组织的岗位、职责和权限、、6.1应对风险和机遇的措施、6.2质量/环境目标及其实现的策划、、O7.1资源总则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O7.4信息交流、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9.3管理评审、10.1改进、10.3持续改进</w:t>
                  </w:r>
                </w:p>
                <w:p>
                  <w:pPr>
                    <w:pStyle w:val="2"/>
                    <w:jc w:val="left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Q6.3变更的策划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/8.3删减确认</w:t>
                  </w:r>
                </w:p>
                <w:p>
                  <w:pPr>
                    <w:pStyle w:val="2"/>
                    <w:jc w:val="left"/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O5.4协商与参与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标准/规范/法规的执行情况、上次审核不符合项的验证、认证证书、标志的使用情况、投诉或事故、监督抽查情况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A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u w:val="none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10:0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0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-11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: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0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restart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ascii="宋体" w:hAnsi="Times New Roman" w:eastAsia="宋体" w:cs="Arial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  <w:t>行政部</w:t>
                  </w: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 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7.2能力、7.3意识、7.5.形成文件的信息、9.2 内部审核、</w:t>
                  </w:r>
                  <w:r>
                    <w:rPr>
                      <w:rFonts w:ascii="宋体" w:hAnsi="宋体" w:cs="Arial"/>
                      <w:spacing w:val="-6"/>
                      <w:sz w:val="21"/>
                      <w:szCs w:val="21"/>
                    </w:rPr>
                    <w:t>9.1.1</w:t>
                  </w:r>
                  <w:r>
                    <w:rPr>
                      <w:rFonts w:hint="eastAsia" w:ascii="宋体" w:hAnsi="宋体" w:cs="Arial"/>
                      <w:spacing w:val="-6"/>
                      <w:sz w:val="21"/>
                      <w:szCs w:val="21"/>
                    </w:rPr>
                    <w:t>监视、测量、分析和评价总则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9.1.3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分析与评价、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 xml:space="preserve">9.2 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内部审核、10.2不符合/事件和纠正措施</w:t>
                  </w:r>
                </w:p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hint="eastAsia" w:ascii="宋体" w:hAnsi="Times New Roman" w:eastAsia="宋体" w:cs="Arial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EMS: 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环境因素、6.1.4措施的策划、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环境目标、6.1.3合规义务、9.1.2合规性评价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7.2能力、7.3意识、7.5形成文件的信息、9.1监视、测量、分析和评价、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应急准备和响应，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 xml:space="preserve">9.2 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内部审核、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10.2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不合格和纠正措施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OHSMS: 5.3组织的岗位、职责和权限、6.1.2危险源的辨识与评价、6.1.4措施的策划、6.1.3合规义务、9.1.2合规性评价、6.2职业健康安全目标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7.1资源、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7.2能力、7.3意识、7.5形成文件的信息、8.1运行策划和控制、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应急准备和响应、9.1监视、测量、分析和评价、9.2 内部审核、10.2不符合/事件和纠正措施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11:30-12:00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12:00-12:30</w:t>
                  </w:r>
                </w:p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午餐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restart"/>
                  <w:vAlign w:val="center"/>
                </w:tcPr>
                <w:p>
                  <w:pPr>
                    <w:spacing w:line="300" w:lineRule="exact"/>
                    <w:jc w:val="both"/>
                    <w:rPr>
                      <w:rFonts w:hint="default" w:ascii="宋体" w:hAnsi="Times New Roman" w:eastAsia="宋体" w:cs="Times New Roman"/>
                      <w:b/>
                      <w:bCs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产品和服务的要求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外部提供过程、产品和服务的控制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顾客或外部供方的财产、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8.5.5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交付后的活动、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9.1.2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顾客满意</w:t>
                  </w:r>
                </w:p>
                <w:p>
                  <w:pPr>
                    <w:spacing w:line="280" w:lineRule="exact"/>
                    <w:jc w:val="left"/>
                    <w:rPr>
                      <w:rFonts w:hint="eastAsia" w:ascii="宋体" w:hAnsi="Times New Roman" w:eastAsia="宋体" w:cs="Arial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EMS: 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环境目标、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环境因素、6.1.4措施的策划、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Merge w:val="continue"/>
                  <w:vAlign w:val="center"/>
                </w:tcPr>
                <w:p>
                  <w:pPr>
                    <w:spacing w:line="300" w:lineRule="exact"/>
                    <w:jc w:val="center"/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hint="eastAsia"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OHSMS: 5.3组织的岗位、职责和权限、6.2职业健康安全目标、6.1.2危险源辨识与评价、6.1.4措施的策划、8.1运行策划和控制、8.2应急准备和响应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12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: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0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-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7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:</w:t>
                  </w: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3</w:t>
                  </w:r>
                  <w:r>
                    <w:rPr>
                      <w:rFonts w:ascii="宋体" w:hAnsi="宋体" w:cs="Arial"/>
                      <w:sz w:val="18"/>
                      <w:szCs w:val="18"/>
                    </w:rPr>
                    <w:t>0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spacing w:line="300" w:lineRule="exact"/>
                    <w:jc w:val="both"/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val="en-US" w:eastAsia="zh-CN"/>
                    </w:rPr>
                    <w:t>销售部</w:t>
                  </w: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ascii="宋体" w:cs="Arial"/>
                      <w:b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b/>
                      <w:sz w:val="21"/>
                      <w:szCs w:val="21"/>
                    </w:rPr>
                    <w:t>生产部</w:t>
                  </w:r>
                </w:p>
                <w:p>
                  <w:pPr>
                    <w:spacing w:line="300" w:lineRule="exact"/>
                    <w:jc w:val="left"/>
                    <w:rPr>
                      <w:rFonts w:ascii="宋体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left"/>
                    <w:textAlignment w:val="baseline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生产和服务提供的控制、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产品标识和可追朔性、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8.5.4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产品防护、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8.5.6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生产和服务提供的更改控制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产品和服务的放行、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不合格输出的控制</w:t>
                  </w:r>
                </w:p>
                <w:p>
                  <w:pPr>
                    <w:spacing w:line="280" w:lineRule="exact"/>
                    <w:jc w:val="lef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EMS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/OHSMS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: 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环境/职业健康安全目标、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环境因素/危险源辨识与评价、6.1.4措施的策划、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运行策划和控制、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应急准备和响应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ind w:firstLine="210" w:firstLineChars="100"/>
                    <w:jc w:val="both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restart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5.31</w:t>
                  </w:r>
                </w:p>
              </w:tc>
              <w:tc>
                <w:tcPr>
                  <w:tcW w:w="1288" w:type="dxa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hAnsi="宋体" w:eastAsia="宋体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  <w:t>08:30-12:00</w:t>
                  </w:r>
                </w:p>
              </w:tc>
              <w:tc>
                <w:tcPr>
                  <w:tcW w:w="1037" w:type="dxa"/>
                  <w:vMerge w:val="restart"/>
                  <w:vAlign w:val="center"/>
                </w:tcPr>
                <w:p>
                  <w:pPr>
                    <w:spacing w:line="300" w:lineRule="exact"/>
                    <w:jc w:val="left"/>
                    <w:rPr>
                      <w:rFonts w:hint="eastAsia" w:ascii="宋体" w:eastAsia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eastAsia="zh-CN"/>
                    </w:rPr>
                    <w:t>生产部</w:t>
                  </w: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ascii="宋体" w:hAns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eastAsia="zh-CN"/>
                    </w:rPr>
                    <w:t>继续审核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ind w:firstLine="210" w:firstLineChars="100"/>
                    <w:jc w:val="both"/>
                    <w:rPr>
                      <w:rFonts w:hint="default" w:ascii="宋体" w:hAns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288" w:type="dxa"/>
                  <w:vMerge w:val="continue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宋体" w:hAnsi="宋体" w:cs="Arial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1037" w:type="dxa"/>
                  <w:vMerge w:val="continue"/>
                  <w:vAlign w:val="center"/>
                </w:tcPr>
                <w:p>
                  <w:pPr>
                    <w:spacing w:line="300" w:lineRule="exact"/>
                    <w:jc w:val="left"/>
                    <w:rPr>
                      <w:rFonts w:hint="eastAsia" w:ascii="宋体"/>
                      <w:b/>
                      <w:bCs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6800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hint="eastAsia" w:ascii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 w:cs="Arial"/>
                      <w:sz w:val="21"/>
                      <w:szCs w:val="21"/>
                    </w:rPr>
                    <w:t>QMS: 5.3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组织的岗位、职责和权限、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质量目标、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7.1.3设备设施、7.1.4环境</w:t>
                  </w:r>
                  <w:r>
                    <w:rPr>
                      <w:rFonts w:ascii="宋体" w:hAnsi="宋体" w:cs="Arial"/>
                      <w:sz w:val="21"/>
                      <w:szCs w:val="21"/>
                    </w:rPr>
                    <w:t>7.1.5</w:t>
                  </w:r>
                  <w:r>
                    <w:rPr>
                      <w:rFonts w:hint="eastAsia" w:ascii="宋体" w:hAnsi="宋体" w:cs="Arial"/>
                      <w:sz w:val="21"/>
                      <w:szCs w:val="21"/>
                    </w:rPr>
                    <w:t>监视和测量资源、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ind w:firstLine="210" w:firstLineChars="100"/>
                    <w:jc w:val="both"/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sz w:val="21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596" w:type="dxa"/>
                  <w:vMerge w:val="continue"/>
                  <w:tcBorders>
                    <w:left w:val="single" w:color="auto" w:sz="8" w:space="0"/>
                  </w:tcBorders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宋体" w:hAnsi="宋体" w:cs="Arial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Arial"/>
                      <w:bCs w:val="0"/>
                      <w:spacing w:val="0"/>
                      <w:kern w:val="2"/>
                      <w:sz w:val="18"/>
                      <w:szCs w:val="18"/>
                      <w:lang w:val="en-US" w:eastAsia="zh-CN" w:bidi="ar-SA"/>
                    </w:rPr>
                    <w:t>12:30-12:30</w:t>
                  </w:r>
                </w:p>
              </w:tc>
              <w:tc>
                <w:tcPr>
                  <w:tcW w:w="7837" w:type="dxa"/>
                  <w:gridSpan w:val="2"/>
                  <w:vAlign w:val="center"/>
                </w:tcPr>
                <w:p>
                  <w:pPr>
                    <w:adjustRightInd w:val="0"/>
                    <w:snapToGrid w:val="0"/>
                    <w:spacing w:line="280" w:lineRule="exact"/>
                    <w:ind w:right="105" w:rightChars="50"/>
                    <w:jc w:val="center"/>
                    <w:textAlignment w:val="baseline"/>
                    <w:rPr>
                      <w:rFonts w:ascii="宋体" w:cs="Arial"/>
                      <w:sz w:val="21"/>
                      <w:szCs w:val="21"/>
                    </w:rPr>
                  </w:pPr>
                  <w:r>
                    <w:rPr>
                      <w:rFonts w:hint="eastAsia" w:ascii="宋体"/>
                      <w:b/>
                      <w:bCs/>
                      <w:sz w:val="21"/>
                      <w:szCs w:val="21"/>
                      <w:lang w:eastAsia="zh-CN"/>
                    </w:rPr>
                    <w:t>末次会</w:t>
                  </w:r>
                </w:p>
              </w:tc>
              <w:tc>
                <w:tcPr>
                  <w:tcW w:w="681" w:type="dxa"/>
                  <w:tcBorders>
                    <w:right w:val="single" w:color="auto" w:sz="8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default" w:ascii="宋体" w:eastAsia="宋体" w:cs="Arial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cs="Arial"/>
                      <w:sz w:val="21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38687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1803</Words>
  <Characters>1984</Characters>
  <Lines>16</Lines>
  <Paragraphs>4</Paragraphs>
  <TotalTime>3</TotalTime>
  <ScaleCrop>false</ScaleCrop>
  <LinksUpToDate>false</LinksUpToDate>
  <CharactersWithSpaces>2493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2022-05-29T08:22:20Z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