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  <w:lang w:eastAsia="zh-CN"/>
        </w:rPr>
        <w:sym w:font="Wingdings 2" w:char="0052"/>
      </w:r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default" w:ascii="Times New Roman" w:hAnsi="Times New Roman" w:cs="Times New Roman"/>
                <w:sz w:val="18"/>
                <w:szCs w:val="18"/>
              </w:rPr>
              <w:t>杭州采芝斋食品制造有限公司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Q：03.06.01;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03.07.02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H:CIV-6,CIV-9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Q：03.06.01;</w:t>
            </w:r>
          </w:p>
          <w:p>
            <w:pPr>
              <w:jc w:val="left"/>
              <w:rPr>
                <w:b/>
                <w:sz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03.07.02</w:t>
            </w:r>
            <w:r>
              <w:rPr>
                <w:rFonts w:hint="default" w:ascii="Times New Roman" w:hAnsi="Times New Roman" w:cs="Times New Roman"/>
                <w:sz w:val="18"/>
                <w:szCs w:val="18"/>
                <w:lang w:val="de-DE"/>
              </w:rPr>
              <w:t>H:CIV-6,CIV-9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-85725</wp:posOffset>
                  </wp:positionV>
                  <wp:extent cx="341630" cy="628650"/>
                  <wp:effectExtent l="0" t="0" r="6350" b="1270"/>
                  <wp:wrapSquare wrapText="bothSides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 bright="42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163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drawing>
                <wp:inline distT="0" distB="0" distL="114300" distR="114300">
                  <wp:extent cx="435610" cy="243840"/>
                  <wp:effectExtent l="0" t="0" r="8890" b="10160"/>
                  <wp:docPr id="6" name="图片 6" descr="a52501401971a1b56473d6c3a8df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52501401971a1b56473d6c3a8dfde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5080</wp:posOffset>
                  </wp:positionV>
                  <wp:extent cx="628650" cy="285750"/>
                  <wp:effectExtent l="0" t="0" r="6350" b="6350"/>
                  <wp:wrapTight wrapText="bothSides">
                    <wp:wrapPolygon>
                      <wp:start x="0" y="0"/>
                      <wp:lineTo x="0" y="21120"/>
                      <wp:lineTo x="21382" y="21120"/>
                      <wp:lineTo x="21382" y="0"/>
                      <wp:lineTo x="0" y="0"/>
                    </wp:wrapPolygon>
                  </wp:wrapTight>
                  <wp:docPr id="7" name="图片 7" descr="1652864589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652864589(1)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360" w:lineRule="auto"/>
              <w:rPr>
                <w:rFonts w:hint="default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FF"/>
                <w:sz w:val="21"/>
                <w:szCs w:val="21"/>
                <w:lang w:val="en-US" w:eastAsia="zh-CN"/>
              </w:rPr>
              <w:t>藕粉——生产工艺</w:t>
            </w:r>
          </w:p>
          <w:p>
            <w:pPr>
              <w:snapToGrid w:val="0"/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原辅料验收→储存→称量→混合搅拌→制粒成型→干燥→分筛→内包灌装→成品包装→检验入库；</w:t>
            </w:r>
          </w:p>
          <w:p>
            <w:pPr>
              <w:pStyle w:val="2"/>
              <w:spacing w:line="360" w:lineRule="auto"/>
              <w:rPr>
                <w:rFonts w:hint="eastAsia"/>
                <w:b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FF"/>
                <w:sz w:val="21"/>
                <w:szCs w:val="21"/>
                <w:lang w:val="en-US" w:eastAsia="zh-CN"/>
              </w:rPr>
              <w:t>苏式月饼——生产工艺</w:t>
            </w:r>
          </w:p>
          <w:p>
            <w:pPr>
              <w:snapToGrid w:val="0"/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原辅料验收→储存→称量→混合搅拌→成型→烘烤→冷却→称重→包装封口→金属探测→成品包装→检验入库；</w:t>
            </w:r>
          </w:p>
          <w:p>
            <w:pPr>
              <w:pStyle w:val="2"/>
              <w:spacing w:line="360" w:lineRule="auto"/>
              <w:rPr>
                <w:rFonts w:hint="eastAsia"/>
                <w:b/>
                <w:bCs w:val="0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FF"/>
                <w:sz w:val="21"/>
                <w:szCs w:val="21"/>
                <w:lang w:val="en-US" w:eastAsia="zh-CN"/>
              </w:rPr>
              <w:t>广式月饼——生产工艺</w:t>
            </w:r>
          </w:p>
          <w:p>
            <w:pPr>
              <w:snapToGrid w:val="0"/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原辅料验收→储存→称量→混合搅拌→成型→一次烘烤→冷却→刷蛋液→二次烘烤→冷却→包装封口→金属探测→成品包装→检验入库；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</w:t>
            </w:r>
          </w:p>
          <w:p>
            <w:pPr>
              <w:pStyle w:val="2"/>
              <w:rPr>
                <w:rFonts w:hint="eastAsia"/>
                <w:b/>
                <w:sz w:val="20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藕粉：原辅料验收——微生物、水分；制粒成型：筛网孔径大小；内包：内包材消毒；</w:t>
            </w:r>
          </w:p>
          <w:p>
            <w:pPr>
              <w:pStyle w:val="2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u w:val="single"/>
                <w:lang w:val="en-US" w:eastAsia="zh-CN"/>
              </w:rPr>
              <w:t>月饼：原辅料验收——水分；称量：限量添加剂超标；烘烤：温度时间；包装：封口温度、时间；金探：Fe、NonFe、SUS大小；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pStyle w:val="12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  <w:highlight w:val="none"/>
                <w:u w:val="none"/>
              </w:rPr>
              <w:t>GB/T19855-2015《月饼》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G</w:t>
            </w:r>
            <w:r>
              <w:rPr>
                <w:color w:val="000000"/>
                <w:sz w:val="21"/>
                <w:szCs w:val="21"/>
                <w:u w:val="none"/>
              </w:rPr>
              <w:t xml:space="preserve">B19640-2016 </w:t>
            </w:r>
            <w:r>
              <w:rPr>
                <w:rFonts w:hint="eastAsia"/>
                <w:color w:val="000000"/>
                <w:sz w:val="21"/>
                <w:szCs w:val="21"/>
                <w:u w:val="none"/>
              </w:rPr>
              <w:t>《食品安全国家标准 冲调类谷物制品》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eastAsia="zh-CN"/>
              </w:rPr>
              <w:t>、GB 7099-2015 《食品安全国家标准 糕点、面包》、《GB 14881-2013 食品安全国家标准 食品生产通用卫生规范》、《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食品安全法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eastAsia="zh-CN"/>
              </w:rPr>
              <w:t>》、《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SC审查细则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eastAsia="zh-CN"/>
              </w:rPr>
              <w:t>》、《GB 2762-2017 食品安全国家标准 食品中污染物限量（含第1号修改单）》、《GB 2761-2017 食品安全国家标准 食品中真菌毒素限量》、《GB 8957-2016 《食品安全国家标准 糕点、面包卫生规范》、《CCAA 0008-2014(CNCA/CTS 0013-2008A) 《食品安全管理体系 糕点生产企业要求》、《CCAA 0019-2014(CNCA/CTS 0011-2014</w:t>
            </w:r>
            <w:r>
              <w:rPr>
                <w:rFonts w:hint="eastAsia"/>
                <w:color w:val="000000"/>
                <w:sz w:val="21"/>
                <w:szCs w:val="21"/>
                <w:u w:val="none"/>
                <w:lang w:val="en-US" w:eastAsia="zh-CN"/>
              </w:rPr>
              <w:t>) 《食品安全管理体系 方便食品生产企业要求》等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藕粉：无型式检验要求，检测项目：水分、霉菌、菌落总数、大肠菌群；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月饼：型式检验要求：感官、净含量、馅料含量、菌落总数、大肠菌群、酸价、过氧化值、菌落总数、大肠菌群、铅、砷、苯甲酸、三梨酸、纳他霉素等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食品安全法、食品安全基础知识等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420370</wp:posOffset>
                  </wp:positionH>
                  <wp:positionV relativeFrom="paragraph">
                    <wp:posOffset>-4445</wp:posOffset>
                  </wp:positionV>
                  <wp:extent cx="646430" cy="363855"/>
                  <wp:effectExtent l="0" t="0" r="0" b="4445"/>
                  <wp:wrapTight wrapText="bothSides">
                    <wp:wrapPolygon>
                      <wp:start x="0" y="0"/>
                      <wp:lineTo x="0" y="3770"/>
                      <wp:lineTo x="2971" y="12063"/>
                      <wp:lineTo x="0" y="13571"/>
                      <wp:lineTo x="0" y="21110"/>
                      <wp:lineTo x="849" y="21110"/>
                      <wp:lineTo x="4244" y="21110"/>
                      <wp:lineTo x="18248" y="13571"/>
                      <wp:lineTo x="18248" y="12063"/>
                      <wp:lineTo x="20369" y="6031"/>
                      <wp:lineTo x="17823" y="4524"/>
                      <wp:lineTo x="2122" y="0"/>
                      <wp:lineTo x="0" y="0"/>
                    </wp:wrapPolygon>
                  </wp:wrapTight>
                  <wp:docPr id="3" name="图片 3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30" cy="36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2540</wp:posOffset>
                  </wp:positionV>
                  <wp:extent cx="657225" cy="369570"/>
                  <wp:effectExtent l="0" t="0" r="0" b="11430"/>
                  <wp:wrapTight wrapText="bothSides">
                    <wp:wrapPolygon>
                      <wp:start x="0" y="0"/>
                      <wp:lineTo x="0" y="3711"/>
                      <wp:lineTo x="2922" y="11876"/>
                      <wp:lineTo x="0" y="13361"/>
                      <wp:lineTo x="0" y="20784"/>
                      <wp:lineTo x="835" y="20784"/>
                      <wp:lineTo x="4591" y="20784"/>
                      <wp:lineTo x="18365" y="13361"/>
                      <wp:lineTo x="18365" y="11876"/>
                      <wp:lineTo x="20452" y="5938"/>
                      <wp:lineTo x="17948" y="4454"/>
                      <wp:lineTo x="2087" y="0"/>
                      <wp:lineTo x="0" y="0"/>
                    </wp:wrapPolygon>
                  </wp:wrapTight>
                  <wp:docPr id="5" name="图片 5" descr="肖新龙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肖新龙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2022-06-06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702E7C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2022-06-07T15:13:24Z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