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道真仡佬族苗族自治县宏业水泥有限责任公司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-3614420</wp:posOffset>
                  </wp:positionV>
                  <wp:extent cx="5274310" cy="4095750"/>
                  <wp:effectExtent l="0" t="0" r="8890" b="635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年度综合能耗tce；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单位产品能耗kgce/t；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单位产值能耗kgce/万元；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）《中华人民共和国节约能源法》中华人民共和国主席令 </w:t>
            </w:r>
            <w:r>
              <w:rPr>
                <w:rFonts w:hint="default"/>
                <w:b/>
                <w:sz w:val="20"/>
                <w:lang w:val="en-US" w:eastAsia="zh-CN"/>
              </w:rPr>
              <w:t>20077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年第七十七号 （中华人民共和国第十二届全国人民代表大会常务委 员会第二十一次会议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2016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月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日）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）《中华人民共和国计量法》中华人民共和国主席令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2013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年第八号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2013.12.28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）《中华人民共和国电力法》中华人民共和国主席令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1995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年第六十号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1996.4.1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val="en-US" w:eastAsia="zh-CN"/>
              </w:rPr>
              <w:t>）《国务院关于加强节能工作的决定》国发〔</w:t>
            </w:r>
            <w:r>
              <w:rPr>
                <w:rFonts w:hint="default"/>
                <w:b/>
                <w:sz w:val="20"/>
                <w:lang w:val="en-US" w:eastAsia="zh-CN"/>
              </w:rPr>
              <w:t>2006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val="en-US" w:eastAsia="zh-CN"/>
              </w:rPr>
              <w:t>）《有序用电管理办法》发改运行〔</w:t>
            </w:r>
            <w:r>
              <w:rPr>
                <w:rFonts w:hint="default"/>
                <w:b/>
                <w:sz w:val="20"/>
                <w:lang w:val="en-US" w:eastAsia="zh-CN"/>
              </w:rPr>
              <w:t>2011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832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）《电力需求侧管理办法》发改运行〔</w:t>
            </w:r>
            <w:r>
              <w:rPr>
                <w:rFonts w:hint="default"/>
                <w:b/>
                <w:sz w:val="20"/>
                <w:lang w:val="en-US" w:eastAsia="zh-CN"/>
              </w:rPr>
              <w:t>2010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2643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）《节能中长期专项规划》发改环资〔</w:t>
            </w:r>
            <w:r>
              <w:rPr>
                <w:rFonts w:hint="default"/>
                <w:b/>
                <w:sz w:val="20"/>
                <w:lang w:val="en-US" w:eastAsia="zh-CN"/>
              </w:rPr>
              <w:t>2004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2505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lang w:val="en-US" w:eastAsia="zh-CN"/>
              </w:rPr>
              <w:t>）《中国节能技术政策大纲》计交能〔</w:t>
            </w:r>
            <w:r>
              <w:rPr>
                <w:rFonts w:hint="default"/>
                <w:b/>
                <w:sz w:val="20"/>
                <w:lang w:val="en-US" w:eastAsia="zh-CN"/>
              </w:rPr>
              <w:t>2006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905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）《高耗能落后机电设备（产品）淘汰目录（第一至四批）》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）《贵州省节约能源条例》贵州省第十二届人民代表大会常务委员会第四次会议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2013.11.1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  <w:lang w:val="en-US" w:eastAsia="zh-CN"/>
              </w:rPr>
              <w:t>）《水泥行业规范条件（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2015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年本）》工业和信息化部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2015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5 </w:t>
            </w:r>
            <w:r>
              <w:rPr>
                <w:rFonts w:hint="eastAsia"/>
                <w:b/>
                <w:sz w:val="20"/>
                <w:lang w:val="en-US" w:eastAsia="zh-CN"/>
              </w:rPr>
              <w:t>号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）《省发展改革委等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8 </w:t>
            </w:r>
            <w:r>
              <w:rPr>
                <w:rFonts w:hint="eastAsia"/>
                <w:b/>
                <w:sz w:val="20"/>
                <w:lang w:val="en-US" w:eastAsia="zh-CN"/>
              </w:rPr>
              <w:t>单位关于印发贵州省重点用能单位</w:t>
            </w:r>
            <w:r>
              <w:rPr>
                <w:rFonts w:hint="default"/>
                <w:b/>
                <w:sz w:val="20"/>
                <w:lang w:val="en-US" w:eastAsia="zh-CN"/>
              </w:rPr>
              <w:t>“</w:t>
            </w:r>
            <w:r>
              <w:rPr>
                <w:rFonts w:hint="eastAsia"/>
                <w:b/>
                <w:sz w:val="20"/>
                <w:lang w:val="en-US" w:eastAsia="zh-CN"/>
              </w:rPr>
              <w:t>百 千万</w:t>
            </w:r>
            <w:r>
              <w:rPr>
                <w:rFonts w:hint="default"/>
                <w:b/>
                <w:sz w:val="20"/>
                <w:lang w:val="en-US" w:eastAsia="zh-CN"/>
              </w:rPr>
              <w:t>”</w:t>
            </w:r>
            <w:r>
              <w:rPr>
                <w:rFonts w:hint="eastAsia"/>
                <w:b/>
                <w:sz w:val="20"/>
                <w:lang w:val="en-US" w:eastAsia="zh-CN"/>
              </w:rPr>
              <w:t>行动实施方案的通知》（黔发改环资〔</w:t>
            </w:r>
            <w:r>
              <w:rPr>
                <w:rFonts w:hint="default"/>
                <w:b/>
                <w:sz w:val="20"/>
                <w:lang w:val="en-US" w:eastAsia="zh-CN"/>
              </w:rPr>
              <w:t>2018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1589 </w:t>
            </w:r>
            <w:r>
              <w:rPr>
                <w:rFonts w:hint="eastAsia"/>
                <w:b/>
                <w:sz w:val="20"/>
                <w:lang w:val="en-US" w:eastAsia="zh-CN"/>
              </w:rPr>
              <w:t>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水泥生产的相关知识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167640</wp:posOffset>
                  </wp:positionV>
                  <wp:extent cx="381000" cy="203200"/>
                  <wp:effectExtent l="0" t="0" r="0" b="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91440</wp:posOffset>
                  </wp:positionV>
                  <wp:extent cx="671830" cy="329565"/>
                  <wp:effectExtent l="0" t="0" r="1270" b="635"/>
                  <wp:wrapSquare wrapText="bothSides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352003A2"/>
    <w:rsid w:val="4C775C45"/>
    <w:rsid w:val="6A9D6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UserStyle_1"/>
    <w:basedOn w:val="1"/>
    <w:qFormat/>
    <w:uiPriority w:val="0"/>
    <w:pPr>
      <w:spacing w:before="72"/>
      <w:ind w:left="107"/>
      <w:jc w:val="both"/>
      <w:textAlignment w:val="baseline"/>
    </w:pPr>
    <w:rPr>
      <w:rFonts w:ascii="宋体" w:hAnsi="宋体" w:eastAsia="宋体"/>
      <w:kern w:val="2"/>
      <w:sz w:val="21"/>
      <w:szCs w:val="22"/>
      <w:lang w:val="zh-CN" w:eastAsia="zh-CN" w:bidi="zh-CN"/>
    </w:rPr>
  </w:style>
  <w:style w:type="character" w:customStyle="1" w:styleId="12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2022-06-17T13:44:57Z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