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0710-2022-EnMS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六盘水市红果开发区龙鼎工贸有限公司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2"/>
      </w:pPr>
    </w:p>
    <w:p>
      <w:pPr>
        <w:pStyle w:val="12"/>
      </w:pPr>
    </w:p>
    <w:p>
      <w:pPr>
        <w:pStyle w:val="12"/>
      </w:pPr>
    </w:p>
    <w:p>
      <w:pPr>
        <w:pStyle w:val="12"/>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jc w:val="both"/>
      </w:pPr>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六盘水市红果开发区龙鼎工贸有限公司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贵州省六盘水市盘州市两河街道两河工业园区东西3号路</w:t>
            </w:r>
            <w:bookmarkEnd w:id="6"/>
          </w:p>
        </w:tc>
        <w:tc>
          <w:tcPr>
            <w:tcW w:w="1242" w:type="dxa"/>
            <w:vMerge w:val="restart"/>
            <w:vAlign w:val="center"/>
          </w:tcPr>
          <w:p>
            <w:r>
              <w:rPr>
                <w:rFonts w:hint="eastAsia"/>
              </w:rPr>
              <w:t>邮编</w:t>
            </w:r>
          </w:p>
        </w:tc>
        <w:tc>
          <w:tcPr>
            <w:tcW w:w="1771" w:type="dxa"/>
          </w:tcPr>
          <w:p>
            <w:bookmarkStart w:id="7" w:name="注册邮编"/>
            <w:r>
              <w:t>553535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贵州省六盘水市盘州市两河街道两河工业园区东西3号路</w:t>
            </w:r>
            <w:bookmarkEnd w:id="8"/>
          </w:p>
        </w:tc>
        <w:tc>
          <w:tcPr>
            <w:tcW w:w="1242" w:type="dxa"/>
            <w:vMerge w:val="continue"/>
            <w:vAlign w:val="center"/>
          </w:tcPr>
          <w:p/>
        </w:tc>
        <w:tc>
          <w:tcPr>
            <w:tcW w:w="1771" w:type="dxa"/>
          </w:tcPr>
          <w:p>
            <w:bookmarkStart w:id="9" w:name="办公邮编"/>
            <w:r>
              <w:t>553535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李沁璋</w:t>
            </w:r>
            <w:bookmarkEnd w:id="10"/>
          </w:p>
        </w:tc>
        <w:tc>
          <w:tcPr>
            <w:tcW w:w="1313" w:type="dxa"/>
            <w:vAlign w:val="center"/>
          </w:tcPr>
          <w:p>
            <w:r>
              <w:rPr>
                <w:rFonts w:hint="eastAsia"/>
              </w:rPr>
              <w:t>电话.</w:t>
            </w:r>
          </w:p>
        </w:tc>
        <w:tc>
          <w:tcPr>
            <w:tcW w:w="2180" w:type="dxa"/>
            <w:vAlign w:val="center"/>
          </w:tcPr>
          <w:p>
            <w:bookmarkStart w:id="11" w:name="联系人电话"/>
            <w:r>
              <w:t>18188280900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敖海洋</w:t>
            </w:r>
            <w:bookmarkEnd w:id="13"/>
          </w:p>
        </w:tc>
        <w:tc>
          <w:tcPr>
            <w:tcW w:w="1313" w:type="dxa"/>
            <w:vAlign w:val="center"/>
          </w:tcPr>
          <w:p>
            <w:r>
              <w:rPr>
                <w:rFonts w:hint="eastAsia"/>
              </w:rPr>
              <w:t>管理者代表</w:t>
            </w:r>
          </w:p>
        </w:tc>
        <w:tc>
          <w:tcPr>
            <w:tcW w:w="2180" w:type="dxa"/>
          </w:tcPr>
          <w:p>
            <w:bookmarkStart w:id="14" w:name="管理者代表"/>
            <w:r>
              <w:t>彭文国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51730" cy="1612265"/>
                  <wp:effectExtent l="0" t="0" r="127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951730" cy="1612265"/>
                          </a:xfrm>
                          <a:prstGeom prst="rect">
                            <a:avLst/>
                          </a:prstGeom>
                          <a:noFill/>
                          <a:ln>
                            <a:noFill/>
                          </a:ln>
                        </pic:spPr>
                      </pic:pic>
                    </a:graphicData>
                  </a:graphic>
                </wp:inline>
              </w:drawing>
            </w:r>
          </w:p>
          <w:p>
            <w:pPr>
              <w:pStyle w:val="12"/>
            </w:pPr>
            <w:r>
              <w:drawing>
                <wp:inline distT="0" distB="0" distL="114300" distR="114300">
                  <wp:extent cx="4893945" cy="2318385"/>
                  <wp:effectExtent l="0" t="0" r="825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893945" cy="2318385"/>
                          </a:xfrm>
                          <a:prstGeom prst="rect">
                            <a:avLst/>
                          </a:prstGeom>
                          <a:noFill/>
                          <a:ln>
                            <a:noFill/>
                          </a:ln>
                        </pic:spPr>
                      </pic:pic>
                    </a:graphicData>
                  </a:graphic>
                </wp:inline>
              </w:drawing>
            </w:r>
          </w:p>
          <w:p>
            <w:pPr>
              <w:pStyle w:val="12"/>
            </w:pPr>
            <w:r>
              <w:drawing>
                <wp:inline distT="0" distB="0" distL="114300" distR="114300">
                  <wp:extent cx="4958080" cy="1979295"/>
                  <wp:effectExtent l="0" t="0" r="7620" b="190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958080" cy="197929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2022年06月1</w:t>
            </w:r>
            <w:r>
              <w:rPr>
                <w:rFonts w:hint="eastAsia"/>
                <w:lang w:val="en-US" w:eastAsia="zh-CN"/>
              </w:rPr>
              <w:t>4</w:t>
            </w:r>
            <w:r>
              <w:rPr>
                <w:rFonts w:hint="eastAsia"/>
              </w:rPr>
              <w:t>日 下午至2022年06月1</w:t>
            </w:r>
            <w:r>
              <w:rPr>
                <w:rFonts w:hint="eastAsia"/>
                <w:lang w:val="en-US" w:eastAsia="zh-CN"/>
              </w:rPr>
              <w:t>6</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default" w:eastAsia="宋体"/>
                <w:lang w:val="en-US" w:eastAsia="zh-CN"/>
              </w:rPr>
            </w:pPr>
            <w:r>
              <w:rPr>
                <w:rFonts w:hint="eastAsia"/>
                <w:lang w:val="de-DE" w:eastAsia="zh-CN"/>
              </w:rPr>
              <w:t>☑</w:t>
            </w:r>
            <w:r>
              <w:rPr>
                <w:rFonts w:hint="eastAsia"/>
                <w:lang w:val="de-DE"/>
              </w:rPr>
              <w:t>RB/T</w:t>
            </w:r>
            <w:r>
              <w:rPr>
                <w:rFonts w:hint="eastAsia"/>
                <w:lang w:val="en-US" w:eastAsia="zh-CN"/>
              </w:rPr>
              <w:t>119-2015能源管理体系 机械制造企业认证要求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FF"/>
                <w:szCs w:val="21"/>
                <w:lang w:val="en-US" w:eastAsia="zh-CN"/>
              </w:rPr>
            </w:pPr>
            <w:r>
              <w:rPr>
                <w:rFonts w:hint="eastAsia" w:ascii="宋体"/>
                <w:b/>
                <w:color w:val="0000FF"/>
                <w:szCs w:val="21"/>
                <w:lang w:val="en-US" w:eastAsia="zh-CN"/>
              </w:rPr>
              <w:t>现场：企业二楼会议室（周涛）</w:t>
            </w:r>
          </w:p>
          <w:p>
            <w:pPr>
              <w:rPr>
                <w:rFonts w:ascii="宋体"/>
                <w:b/>
                <w:color w:val="0000FF"/>
                <w:szCs w:val="21"/>
              </w:rPr>
            </w:pPr>
            <w:r>
              <w:rPr>
                <w:rFonts w:hint="eastAsia" w:ascii="宋体"/>
                <w:b/>
                <w:color w:val="0000FF"/>
                <w:szCs w:val="21"/>
                <w:lang w:val="en-US" w:eastAsia="zh-CN"/>
              </w:rPr>
              <w:t>远程：石家庄市（李丽英）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矿山机械设备生产制造所涉及的能源管理活动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63"/>
        <w:gridCol w:w="1562"/>
        <w:gridCol w:w="1270"/>
        <w:gridCol w:w="1393"/>
        <w:gridCol w:w="17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sz w:val="21"/>
                <w:szCs w:val="21"/>
                <w:lang w:eastAsia="zh-CN"/>
              </w:rPr>
            </w:pPr>
            <w:r>
              <w:rPr>
                <w:rFonts w:eastAsia="黑体" w:cs="Arial"/>
                <w:sz w:val="21"/>
                <w:szCs w:val="21"/>
                <w:lang w:eastAsia="zh-CN"/>
              </w:rPr>
              <w:t>场所编号</w:t>
            </w:r>
          </w:p>
          <w:p>
            <w:pPr>
              <w:pStyle w:val="20"/>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56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6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127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393"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8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63" w:type="dxa"/>
          </w:tcPr>
          <w:p>
            <w:pPr>
              <w:spacing w:before="40" w:after="40"/>
              <w:rPr>
                <w:rFonts w:hint="eastAsia" w:eastAsia="宋体"/>
                <w:szCs w:val="21"/>
                <w:lang w:val="en-US" w:eastAsia="zh-CN"/>
              </w:rPr>
            </w:pPr>
            <w:r>
              <w:rPr>
                <w:rFonts w:hint="eastAsia"/>
                <w:color w:val="000000"/>
                <w:sz w:val="24"/>
                <w:szCs w:val="24"/>
              </w:rPr>
              <w:t>六盘水市红果开发区龙鼎工贸有限公司</w:t>
            </w:r>
            <w:r>
              <w:rPr>
                <w:rFonts w:hint="eastAsia"/>
                <w:color w:val="000000"/>
                <w:sz w:val="24"/>
                <w:szCs w:val="24"/>
                <w:lang w:val="en-US" w:eastAsia="zh-CN"/>
              </w:rPr>
              <w:t>/</w:t>
            </w:r>
            <w:r>
              <w:rPr>
                <w:rFonts w:hint="eastAsia" w:ascii="Times New Roman" w:hAnsi="Times New Roman" w:eastAsia="宋体" w:cs="Times New Roman"/>
                <w:color w:val="auto"/>
                <w:szCs w:val="22"/>
                <w:lang w:eastAsia="zh-CN"/>
              </w:rPr>
              <w:t>贵州省六盘水市盘州市两河街道两河工业园区东西3号路</w:t>
            </w:r>
          </w:p>
        </w:tc>
        <w:tc>
          <w:tcPr>
            <w:tcW w:w="1562" w:type="dxa"/>
          </w:tcPr>
          <w:p>
            <w:pPr>
              <w:spacing w:before="40" w:after="40"/>
              <w:rPr>
                <w:rFonts w:eastAsia="黑体"/>
                <w:szCs w:val="21"/>
                <w:lang w:val="de-DE" w:eastAsia="ja-JP"/>
              </w:rPr>
            </w:pPr>
            <w:r>
              <w:rPr>
                <w:rFonts w:hint="eastAsia" w:ascii="Times New Roman" w:hAnsi="Times New Roman" w:eastAsia="宋体" w:cs="Times New Roman"/>
                <w:color w:val="auto"/>
                <w:szCs w:val="22"/>
                <w:lang w:eastAsia="zh-CN"/>
              </w:rPr>
              <w:t>贵州省六盘水市盘州市两河街道两河工业园区东西3号路</w:t>
            </w:r>
          </w:p>
        </w:tc>
        <w:tc>
          <w:tcPr>
            <w:tcW w:w="1270" w:type="dxa"/>
            <w:vAlign w:val="center"/>
          </w:tcPr>
          <w:p>
            <w:pPr>
              <w:spacing w:before="40" w:after="40"/>
              <w:rPr>
                <w:rFonts w:eastAsia="黑体"/>
                <w:szCs w:val="21"/>
                <w:lang w:eastAsia="ja-JP"/>
              </w:rPr>
            </w:pPr>
            <w:r>
              <w:rPr>
                <w:rFonts w:hint="eastAsia"/>
                <w:color w:val="000000"/>
                <w:szCs w:val="21"/>
              </w:rPr>
              <w:t>管理体系</w:t>
            </w:r>
            <w:r>
              <w:rPr>
                <w:rFonts w:hint="eastAsia"/>
                <w:color w:val="000000"/>
                <w:szCs w:val="21"/>
                <w:highlight w:val="none"/>
              </w:rPr>
              <w:t>覆盖的人数</w:t>
            </w:r>
            <w:bookmarkStart w:id="31" w:name="体系人数"/>
            <w:r>
              <w:rPr>
                <w:sz w:val="22"/>
                <w:szCs w:val="22"/>
              </w:rPr>
              <w:t>303</w:t>
            </w:r>
            <w:bookmarkEnd w:id="31"/>
            <w:r>
              <w:rPr>
                <w:rFonts w:hint="eastAsia"/>
                <w:sz w:val="22"/>
                <w:szCs w:val="22"/>
                <w:lang w:val="en-US" w:eastAsia="zh-CN"/>
              </w:rPr>
              <w:t>人</w:t>
            </w:r>
            <w:r>
              <w:rPr>
                <w:rFonts w:hint="eastAsia"/>
                <w:color w:val="000000"/>
                <w:szCs w:val="21"/>
              </w:rPr>
              <w:t>（总计人</w:t>
            </w:r>
            <w:bookmarkStart w:id="32" w:name="企业人数"/>
            <w:r>
              <w:rPr>
                <w:rFonts w:hint="eastAsia" w:ascii="宋体" w:hAnsi="宋体" w:cs="宋体"/>
                <w:color w:val="000000"/>
                <w:kern w:val="0"/>
                <w:szCs w:val="24"/>
              </w:rPr>
              <w:t>488</w:t>
            </w:r>
            <w:bookmarkEnd w:id="32"/>
            <w:r>
              <w:rPr>
                <w:rFonts w:hint="eastAsia"/>
                <w:color w:val="000000"/>
                <w:szCs w:val="21"/>
              </w:rPr>
              <w:t>）</w:t>
            </w:r>
          </w:p>
        </w:tc>
        <w:tc>
          <w:tcPr>
            <w:tcW w:w="1393" w:type="dxa"/>
            <w:vAlign w:val="center"/>
          </w:tcPr>
          <w:p>
            <w:pPr>
              <w:pStyle w:val="21"/>
              <w:rPr>
                <w:rFonts w:eastAsia="黑体" w:cs="Arial"/>
                <w:sz w:val="21"/>
                <w:szCs w:val="21"/>
                <w:lang w:val="en-US" w:eastAsia="ja-JP"/>
              </w:rPr>
            </w:pPr>
            <w:r>
              <w:t>矿山机械设备生产制造所涉及的能源管理活动</w:t>
            </w:r>
            <w:r>
              <w:rPr>
                <w:rFonts w:hint="eastAsia"/>
                <w:color w:val="000000"/>
                <w:szCs w:val="21"/>
              </w:rPr>
              <w:t>；</w:t>
            </w:r>
          </w:p>
        </w:tc>
        <w:tc>
          <w:tcPr>
            <w:tcW w:w="1789" w:type="dxa"/>
            <w:vAlign w:val="center"/>
          </w:tcPr>
          <w:p>
            <w:pPr>
              <w:rPr>
                <w:rFonts w:hint="eastAsia" w:ascii="宋体" w:hAnsi="宋体"/>
                <w:b/>
                <w:color w:val="000000"/>
                <w:szCs w:val="21"/>
                <w:lang w:val="de-DE"/>
              </w:rPr>
            </w:pPr>
            <w:r>
              <w:rPr>
                <w:rFonts w:hint="eastAsia" w:ascii="宋体" w:hAnsi="宋体"/>
                <w:b/>
                <w:color w:val="000000"/>
                <w:szCs w:val="21"/>
                <w:lang w:val="de-DE"/>
              </w:rPr>
              <w:t>GB/T23331-202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spacing w:before="40" w:after="40"/>
              <w:rPr>
                <w:rFonts w:eastAsia="黑体"/>
                <w:szCs w:val="21"/>
                <w:lang w:eastAsia="ja-JP"/>
              </w:rPr>
            </w:pPr>
            <w:r>
              <w:rPr>
                <w:rFonts w:hint="eastAsia" w:ascii="宋体" w:hAnsi="宋体"/>
                <w:b/>
                <w:color w:val="000000"/>
                <w:szCs w:val="21"/>
                <w:lang w:val="en-US" w:eastAsia="zh-CN"/>
              </w:rPr>
              <w:t>RB/T119-2015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2020-N1EnMS-3021820</w:t>
            </w: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bookmarkStart w:id="36" w:name="_GoBack"/>
      <w:bookmarkEnd w:id="36"/>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581660</wp:posOffset>
                  </wp:positionH>
                  <wp:positionV relativeFrom="paragraph">
                    <wp:posOffset>29210</wp:posOffset>
                  </wp:positionV>
                  <wp:extent cx="546100" cy="27305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6100" cy="273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pPr>
    </w:p>
    <w:p>
      <w:pPr>
        <w:shd w:val="clear" w:color="auto" w:fill="EBF1DE" w:themeFill="accent3" w:themeFillTint="32"/>
      </w:pPr>
      <w:r>
        <w:br w:type="page"/>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rPr>
            </w:pPr>
            <w:r>
              <w:rPr>
                <w:rFonts w:hint="eastAsia"/>
              </w:rPr>
              <w:t>最高管理者制定了文件化的管理体系方针：</w:t>
            </w:r>
            <w:r>
              <w:rPr>
                <w:rFonts w:hint="eastAsia" w:ascii="Times New Roman" w:hAnsi="Times New Roman" w:eastAsia="宋体" w:cs="Times New Roman"/>
                <w:u w:val="single"/>
              </w:rPr>
              <w:t>遵守法规、清洁生产；节能降耗、创新改造；能耗限额、持续改进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彭文国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ind w:firstLine="840" w:firstLineChars="400"/>
                    <w:rPr>
                      <w:rFonts w:hint="eastAsia" w:eastAsia="宋体"/>
                      <w:lang w:val="en-US" w:eastAsia="zh-CN"/>
                    </w:rPr>
                  </w:pPr>
                  <w:r>
                    <w:rPr>
                      <w:rFonts w:hint="eastAsia"/>
                      <w:lang w:val="en-US" w:eastAsia="zh-CN"/>
                    </w:rPr>
                    <w:t>停电</w:t>
                  </w:r>
                </w:p>
              </w:tc>
              <w:tc>
                <w:tcPr>
                  <w:tcW w:w="3965" w:type="dxa"/>
                </w:tcPr>
                <w:p>
                  <w:pPr>
                    <w:shd w:val="clear" w:color="auto" w:fill="EBF1DE" w:themeFill="accent3" w:themeFillTint="32"/>
                    <w:rPr>
                      <w:rFonts w:hint="default" w:eastAsia="宋体"/>
                      <w:lang w:val="en-US" w:eastAsia="zh-CN"/>
                    </w:rPr>
                  </w:pPr>
                  <w:r>
                    <w:rPr>
                      <w:rFonts w:hint="eastAsia"/>
                      <w:lang w:val="en-US" w:eastAsia="zh-CN"/>
                    </w:rPr>
                    <w:t>与供电公司签订供电协议、安装柴油发电机预防停电</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单位产值能耗≦1.38kgce/万元；</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加强用电管理、杜绝设备空运转、以及超负荷运转；</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both"/>
                    <w:rPr>
                      <w:rFonts w:ascii="宋体" w:hAnsi="宋体"/>
                      <w:lang w:val="en-GB"/>
                    </w:rPr>
                  </w:pPr>
                  <w:r>
                    <w:rPr>
                      <w:rFonts w:hint="eastAsia"/>
                      <w:lang w:val="en-US" w:eastAsia="zh-CN"/>
                    </w:rPr>
                    <w:t>1.08kgce/万元</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50000</w:t>
            </w:r>
            <w:r>
              <w:rPr>
                <w:rFonts w:hint="eastAsia"/>
              </w:rPr>
              <w:t>平方米；生产车间</w:t>
            </w:r>
            <w:r>
              <w:rPr>
                <w:rFonts w:hint="eastAsia"/>
                <w:lang w:val="en-US" w:eastAsia="zh-CN"/>
              </w:rPr>
              <w:t>4</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eastAsia="宋体"/>
                <w:u w:val="single"/>
                <w:lang w:val="en-US" w:eastAsia="zh-CN"/>
              </w:rPr>
              <w:t>电焊机、切割机、车床</w:t>
            </w:r>
            <w:r>
              <w:rPr>
                <w:rFonts w:hint="eastAsia" w:eastAsia="宋体"/>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eastAsia="宋体"/>
                <w:u w:val="single"/>
                <w:lang w:val="en-US" w:eastAsia="zh-CN"/>
              </w:rPr>
              <w:t>空压机、熔复机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t>☑</w:t>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t>☑</w:t>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ascii="Times New Roman" w:hAnsi="Times New Roman" w:eastAsia="宋体" w:cs="Times New Roman"/>
                      <w:lang w:val="en-US" w:eastAsia="zh-CN"/>
                    </w:rPr>
                    <w:t>加强用电管理，满负荷生产，避免无故停车。</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运行良好</w:t>
                  </w:r>
                </w:p>
              </w:tc>
            </w:tr>
          </w:tbl>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579"/>
        <w:gridCol w:w="630"/>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5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3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2"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79" w:type="dxa"/>
            <w:shd w:val="clear" w:color="auto" w:fill="EBF1DE" w:themeFill="accent3" w:themeFillTint="32"/>
            <w:vAlign w:val="center"/>
          </w:tcPr>
          <w:p>
            <w:pPr>
              <w:shd w:val="clear" w:color="auto" w:fill="EBF1DE" w:themeFill="accent3" w:themeFillTint="32"/>
              <w:rPr>
                <w:lang w:eastAsia="ja-JP"/>
              </w:rPr>
            </w:pPr>
          </w:p>
        </w:tc>
        <w:tc>
          <w:tcPr>
            <w:tcW w:w="630" w:type="dxa"/>
            <w:shd w:val="clear" w:color="auto" w:fill="EBF1DE" w:themeFill="accent3" w:themeFillTint="32"/>
            <w:vAlign w:val="center"/>
          </w:tcPr>
          <w:p>
            <w:pPr>
              <w:shd w:val="clear" w:color="auto" w:fill="EBF1DE" w:themeFill="accent3" w:themeFillTint="32"/>
              <w:rPr>
                <w:lang w:eastAsia="ja-JP"/>
              </w:rPr>
            </w:pPr>
          </w:p>
        </w:tc>
        <w:tc>
          <w:tcPr>
            <w:tcW w:w="75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579" w:type="dxa"/>
            <w:shd w:val="clear" w:color="auto" w:fill="EBF1DE" w:themeFill="accent3" w:themeFillTint="32"/>
            <w:vAlign w:val="center"/>
          </w:tcPr>
          <w:p>
            <w:pPr>
              <w:shd w:val="clear" w:color="auto" w:fill="EBF1DE" w:themeFill="accent3" w:themeFillTint="32"/>
            </w:pPr>
            <w:r>
              <w:rPr>
                <w:rFonts w:hint="eastAsia"/>
              </w:rPr>
              <w:t>7.5</w:t>
            </w:r>
          </w:p>
        </w:tc>
        <w:tc>
          <w:tcPr>
            <w:tcW w:w="63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2"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79" w:type="dxa"/>
            <w:shd w:val="clear" w:color="auto" w:fill="EBF1DE" w:themeFill="accent3" w:themeFillTint="32"/>
            <w:vAlign w:val="center"/>
          </w:tcPr>
          <w:p>
            <w:pPr>
              <w:shd w:val="clear" w:color="auto" w:fill="EBF1DE" w:themeFill="accent3" w:themeFillTint="32"/>
              <w:rPr>
                <w:lang w:eastAsia="ja-JP"/>
              </w:rPr>
            </w:pPr>
          </w:p>
        </w:tc>
        <w:tc>
          <w:tcPr>
            <w:tcW w:w="630" w:type="dxa"/>
            <w:shd w:val="clear" w:color="auto" w:fill="EBF1DE" w:themeFill="accent3" w:themeFillTint="32"/>
            <w:vAlign w:val="center"/>
          </w:tcPr>
          <w:p>
            <w:pPr>
              <w:shd w:val="clear" w:color="auto" w:fill="EBF1DE" w:themeFill="accent3" w:themeFillTint="32"/>
              <w:rPr>
                <w:lang w:eastAsia="ja-JP"/>
              </w:rPr>
            </w:pPr>
          </w:p>
        </w:tc>
        <w:tc>
          <w:tcPr>
            <w:tcW w:w="75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79" w:type="dxa"/>
            <w:shd w:val="clear" w:color="auto" w:fill="EBF1DE" w:themeFill="accent3" w:themeFillTint="32"/>
            <w:vAlign w:val="center"/>
          </w:tcPr>
          <w:p>
            <w:pPr>
              <w:shd w:val="clear" w:color="auto" w:fill="EBF1DE" w:themeFill="accent3" w:themeFillTint="32"/>
              <w:rPr>
                <w:lang w:eastAsia="ja-JP"/>
              </w:rPr>
            </w:pPr>
          </w:p>
        </w:tc>
        <w:tc>
          <w:tcPr>
            <w:tcW w:w="630" w:type="dxa"/>
            <w:shd w:val="clear" w:color="auto" w:fill="EBF1DE" w:themeFill="accent3" w:themeFillTint="32"/>
            <w:vAlign w:val="center"/>
          </w:tcPr>
          <w:p>
            <w:pPr>
              <w:shd w:val="clear" w:color="auto" w:fill="EBF1DE" w:themeFill="accent3" w:themeFillTint="32"/>
              <w:rPr>
                <w:lang w:eastAsia="ja-JP"/>
              </w:rPr>
            </w:pPr>
          </w:p>
        </w:tc>
        <w:tc>
          <w:tcPr>
            <w:tcW w:w="75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79" w:type="dxa"/>
            <w:shd w:val="clear" w:color="auto" w:fill="EBF1DE" w:themeFill="accent3" w:themeFillTint="32"/>
            <w:vAlign w:val="center"/>
          </w:tcPr>
          <w:p>
            <w:pPr>
              <w:shd w:val="clear" w:color="auto" w:fill="EBF1DE" w:themeFill="accent3" w:themeFillTint="32"/>
              <w:rPr>
                <w:lang w:eastAsia="ja-JP"/>
              </w:rPr>
            </w:pPr>
          </w:p>
        </w:tc>
        <w:tc>
          <w:tcPr>
            <w:tcW w:w="630" w:type="dxa"/>
            <w:shd w:val="clear" w:color="auto" w:fill="EBF1DE" w:themeFill="accent3" w:themeFillTint="32"/>
            <w:vAlign w:val="center"/>
          </w:tcPr>
          <w:p>
            <w:pPr>
              <w:shd w:val="clear" w:color="auto" w:fill="EBF1DE" w:themeFill="accent3" w:themeFillTint="32"/>
              <w:rPr>
                <w:lang w:eastAsia="ja-JP"/>
              </w:rPr>
            </w:pPr>
          </w:p>
        </w:tc>
        <w:tc>
          <w:tcPr>
            <w:tcW w:w="752"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79" w:type="dxa"/>
            <w:shd w:val="clear" w:color="auto" w:fill="EBF1DE" w:themeFill="accent3" w:themeFillTint="32"/>
            <w:vAlign w:val="center"/>
          </w:tcPr>
          <w:p>
            <w:pPr>
              <w:shd w:val="clear" w:color="auto" w:fill="EBF1DE" w:themeFill="accent3" w:themeFillTint="32"/>
              <w:rPr>
                <w:lang w:eastAsia="ja-JP"/>
              </w:rPr>
            </w:pPr>
          </w:p>
        </w:tc>
        <w:tc>
          <w:tcPr>
            <w:tcW w:w="630" w:type="dxa"/>
            <w:shd w:val="clear" w:color="auto" w:fill="EBF1DE" w:themeFill="accent3" w:themeFillTint="32"/>
            <w:vAlign w:val="center"/>
          </w:tcPr>
          <w:p>
            <w:pPr>
              <w:shd w:val="clear" w:color="auto" w:fill="EBF1DE" w:themeFill="accent3" w:themeFillTint="32"/>
              <w:rPr>
                <w:lang w:eastAsia="ja-JP"/>
              </w:rPr>
            </w:pPr>
          </w:p>
        </w:tc>
        <w:tc>
          <w:tcPr>
            <w:tcW w:w="752"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271072"/>
    <w:rsid w:val="3E0443C7"/>
    <w:rsid w:val="3E4400DA"/>
    <w:rsid w:val="7392528E"/>
    <w:rsid w:val="78257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TotalTime>
  <ScaleCrop>false</ScaleCrop>
  <LinksUpToDate>false</LinksUpToDate>
  <CharactersWithSpaces>26902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2022-06-16T07:27:01Z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