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临海市宏业混凝土有限公司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临海市宏业混凝土有限公司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临海市古城街道许墅村</w:t>
            </w:r>
            <w:bookmarkEnd w:id="6"/>
          </w:p>
        </w:tc>
        <w:tc>
          <w:tcPr>
            <w:tcW w:w="1242" w:type="dxa"/>
            <w:vMerge w:val="restart"/>
            <w:vAlign w:val="center"/>
          </w:tcPr>
          <w:p>
            <w:r>
              <w:rPr>
                <w:rFonts w:hint="eastAsia"/>
              </w:rPr>
              <w:t>邮编</w:t>
            </w:r>
          </w:p>
        </w:tc>
        <w:tc>
          <w:tcPr>
            <w:tcW w:w="1771" w:type="dxa"/>
          </w:tcPr>
          <w:p>
            <w:bookmarkStart w:id="7" w:name="注册邮编"/>
            <w:r>
              <w:t>317000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临海市古城街道许墅村</w:t>
            </w:r>
            <w:bookmarkEnd w:id="8"/>
          </w:p>
        </w:tc>
        <w:tc>
          <w:tcPr>
            <w:tcW w:w="1242" w:type="dxa"/>
            <w:vMerge w:val="continue"/>
            <w:vAlign w:val="center"/>
          </w:tcPr>
          <w:p/>
        </w:tc>
        <w:tc>
          <w:tcPr>
            <w:tcW w:w="1771" w:type="dxa"/>
          </w:tcPr>
          <w:p>
            <w:bookmarkStart w:id="9" w:name="办公邮编"/>
            <w:r>
              <w:t>317000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顾玲娅</w:t>
            </w:r>
            <w:bookmarkEnd w:id="10"/>
          </w:p>
        </w:tc>
        <w:tc>
          <w:tcPr>
            <w:tcW w:w="1313" w:type="dxa"/>
            <w:vAlign w:val="center"/>
          </w:tcPr>
          <w:p>
            <w:r>
              <w:rPr>
                <w:rFonts w:hint="eastAsia"/>
              </w:rPr>
              <w:t>电话.</w:t>
            </w:r>
          </w:p>
        </w:tc>
        <w:tc>
          <w:tcPr>
            <w:tcW w:w="2180" w:type="dxa"/>
            <w:vAlign w:val="center"/>
          </w:tcPr>
          <w:p>
            <w:bookmarkStart w:id="11" w:name="联系人电话"/>
            <w:r>
              <w:t>13173720867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徐辉</w:t>
            </w:r>
            <w:bookmarkEnd w:id="13"/>
          </w:p>
        </w:tc>
        <w:tc>
          <w:tcPr>
            <w:tcW w:w="1313" w:type="dxa"/>
            <w:vAlign w:val="center"/>
          </w:tcPr>
          <w:p>
            <w:r>
              <w:rPr>
                <w:rFonts w:hint="eastAsia"/>
              </w:rPr>
              <w:t>管理者代表</w:t>
            </w:r>
          </w:p>
        </w:tc>
        <w:tc>
          <w:tcPr>
            <w:tcW w:w="2180" w:type="dxa"/>
          </w:tcPr>
          <w:p>
            <w:bookmarkStart w:id="14" w:name="管理者代表"/>
            <w:r>
              <w:t>顾玲娅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lang w:val="en-US" w:eastAsia="zh-CN"/>
              </w:rPr>
              <w:t>碎石黄沙混拌集料---水泥、外加剂、粉煤灰、水混全搅拌---检验---运输交付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2022年05月30日 上午至2022年05月30日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预拌商品混凝土的生产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cs="Times New Roman" w:asciiTheme="minorEastAsia" w:hAnsiTheme="minorEastAsia" w:eastAsiaTheme="minorEastAsia"/>
                <w:sz w:val="20"/>
                <w:lang w:val="en-US" w:eastAsia="zh-CN"/>
              </w:rPr>
            </w:pPr>
            <w:r>
              <w:rPr>
                <w:rFonts w:cs="Times New Roman" w:asciiTheme="minorEastAsia" w:hAnsiTheme="minorEastAsia" w:eastAsiaTheme="minorEastAsia"/>
                <w:sz w:val="20"/>
              </w:rPr>
              <w:t>临海市宏业混凝土有限公司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临海市古城街道许墅村</w:t>
            </w:r>
          </w:p>
        </w:tc>
        <w:tc>
          <w:tcPr>
            <w:tcW w:w="2267" w:type="dxa"/>
          </w:tcPr>
          <w:p>
            <w:pPr>
              <w:rPr>
                <w:rFonts w:cs="Times New Roman" w:asciiTheme="minorEastAsia" w:hAnsiTheme="minorEastAsia" w:eastAsiaTheme="minorEastAsia"/>
                <w:sz w:val="20"/>
                <w:lang w:val="de-DE" w:eastAsia="ja-JP"/>
              </w:rPr>
            </w:pPr>
            <w:r>
              <w:rPr>
                <w:rFonts w:cs="Times New Roman" w:asciiTheme="minorEastAsia" w:hAnsiTheme="minorEastAsia" w:eastAsiaTheme="minorEastAsia"/>
                <w:sz w:val="20"/>
              </w:rPr>
              <w:t>临海市古城街道许墅村</w:t>
            </w:r>
          </w:p>
        </w:tc>
        <w:tc>
          <w:tcPr>
            <w:tcW w:w="571" w:type="dxa"/>
            <w:vAlign w:val="center"/>
          </w:tcPr>
          <w:p>
            <w:pPr>
              <w:rPr>
                <w:rFonts w:hint="default" w:eastAsia="宋体"/>
                <w:lang w:val="en-US" w:eastAsia="zh-CN"/>
              </w:rPr>
            </w:pPr>
            <w:r>
              <w:rPr>
                <w:rFonts w:hint="eastAsia"/>
                <w:lang w:val="en-US" w:eastAsia="zh-CN"/>
              </w:rPr>
              <w:t>65人</w:t>
            </w:r>
          </w:p>
        </w:tc>
        <w:tc>
          <w:tcPr>
            <w:tcW w:w="2803" w:type="dxa"/>
            <w:vAlign w:val="center"/>
          </w:tcPr>
          <w:p>
            <w:pPr>
              <w:rPr>
                <w:lang w:eastAsia="ja-JP"/>
              </w:rPr>
            </w:pPr>
            <w:r>
              <w:rPr>
                <w:sz w:val="20"/>
              </w:rPr>
              <w:t>预拌商品混凝土的生产</w:t>
            </w: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w:t>
            </w:r>
            <w:bookmarkStart w:id="32" w:name="_GoBack"/>
            <w:bookmarkEnd w:id="32"/>
            <w:r>
              <w:t>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盛贝</w:t>
            </w:r>
          </w:p>
        </w:tc>
        <w:tc>
          <w:tcPr>
            <w:tcW w:w="1089" w:type="dxa"/>
            <w:vAlign w:val="center"/>
          </w:tcPr>
          <w:p>
            <w:r>
              <w:t>组员</w:t>
            </w:r>
          </w:p>
        </w:tc>
        <w:tc>
          <w:tcPr>
            <w:tcW w:w="711" w:type="dxa"/>
            <w:vAlign w:val="center"/>
          </w:tcPr>
          <w:p>
            <w:r>
              <w:t>男</w:t>
            </w:r>
          </w:p>
        </w:tc>
        <w:tc>
          <w:tcPr>
            <w:tcW w:w="3870" w:type="dxa"/>
            <w:vAlign w:val="center"/>
          </w:tcPr>
          <w:p>
            <w:r>
              <w:t>ISC-JSZJ-298</w:t>
            </w:r>
          </w:p>
          <w:p>
            <w:r>
              <w:t>浙江铭隆装饰设计工程有限公司</w:t>
            </w:r>
          </w:p>
        </w:tc>
        <w:tc>
          <w:tcPr>
            <w:tcW w:w="2179" w:type="dxa"/>
            <w:vAlign w:val="center"/>
          </w:tcPr>
          <w:p>
            <w: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盛贝</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浙江铭隆装饰设计工程有限公司</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rFonts w:hint="eastAsia"/>
        </w:rPr>
      </w:pPr>
      <w:r>
        <w:rPr>
          <w:rFonts w:hint="eastAsia"/>
        </w:rPr>
        <w:t>未开具不符合报告。</w:t>
      </w:r>
    </w:p>
    <w:p>
      <w:pPr>
        <w:pStyle w:val="2"/>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274320</wp:posOffset>
                  </wp:positionH>
                  <wp:positionV relativeFrom="paragraph">
                    <wp:posOffset>330835</wp:posOffset>
                  </wp:positionV>
                  <wp:extent cx="883920" cy="639445"/>
                  <wp:effectExtent l="0" t="0" r="0" b="63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883920" cy="63944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w:t>
            </w:r>
            <w:r>
              <w:rPr>
                <w:rFonts w:hint="eastAsia"/>
              </w:rPr>
              <w:sym w:font="Wingdings 2" w:char="0052"/>
            </w:r>
            <w:r>
              <w:rPr>
                <w:rFonts w:hint="eastAsia"/>
              </w:rPr>
              <w:t>检验检测□产品运输</w:t>
            </w:r>
            <w:r>
              <w:rPr>
                <w:rFonts w:hint="eastAsia"/>
              </w:rPr>
              <w:sym w:font="Wingdings 2" w:char="0052"/>
            </w:r>
            <w:r>
              <w:rPr>
                <w:rFonts w:hint="eastAsia"/>
              </w:rPr>
              <w:t>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rPr>
              <w:sym w:font="Wingdings 2" w:char="00A3"/>
            </w:r>
            <w:r>
              <w:rPr>
                <w:rFonts w:hint="eastAsia"/>
              </w:rPr>
              <w:t>其他</w:t>
            </w:r>
            <w:r>
              <w:rPr>
                <w:rFonts w:hint="eastAsia"/>
                <w:lang w:val="en-US" w:eastAsia="zh-CN"/>
              </w:rPr>
              <w:t xml:space="preserve">:； </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w:t>
            </w:r>
            <w:r>
              <w:rPr>
                <w:rFonts w:hint="eastAsia" w:ascii="Times New Roman" w:hAnsi="Times New Roman" w:eastAsia="宋体" w:cs="Times New Roman"/>
              </w:rPr>
              <w:t>文件化的管理体系方针：企业以人为本、质量以严为纲、以市场为导向、以顾客为中心</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试验部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主要的风险或机遇描述</w:t>
                  </w:r>
                </w:p>
              </w:tc>
              <w:tc>
                <w:tcPr>
                  <w:tcW w:w="3965"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应对措施</w:t>
                  </w:r>
                </w:p>
              </w:tc>
              <w:tc>
                <w:tcPr>
                  <w:tcW w:w="1717"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法律法规环境政策机遇</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对于新的法规注意学习，依法执行法律法规</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考核机制执行不到位</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公司建立绩效考核制度并不断完善，使其发挥正常作用</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公司人力资源配置与业务增长需求不匹配</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1.提高员工工资待遇，改善工作环境，降低员工流失率；</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2.培训和宣传公司企业文件和价值观，培训员工一岗多能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3.与招聘中介、劳务市场保持密切联系，寻求协助以应急</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合规风险</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w:t>
                  </w:r>
                  <w:r>
                    <w:rPr>
                      <w:rFonts w:hint="eastAsia" w:ascii="Times New Roman" w:hAnsi="Times New Roman" w:eastAsia="宋体" w:cs="Times New Roman"/>
                      <w:lang w:val="en-US" w:eastAsia="zh-CN"/>
                    </w:rPr>
                    <w:t>.加强内部质量控制</w:t>
                  </w:r>
                  <w:r>
                    <w:rPr>
                      <w:rFonts w:hint="eastAsia" w:ascii="Times New Roman" w:hAnsi="Times New Roman" w:eastAsia="宋体" w:cs="Times New Roman"/>
                      <w:lang w:val="en-GB"/>
                    </w:rPr>
                    <w:t>。</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2 聘请法律顾问并及时商定解决方案以应对紧急情况</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bl>
          <w:p>
            <w:pPr>
              <w:shd w:val="clear" w:color="auto" w:fill="C7DAF1" w:themeFill="text2" w:themeFillTint="32"/>
              <w:rPr>
                <w:rFonts w:hint="eastAsia" w:ascii="Times New Roman" w:hAnsi="Times New Roman" w:eastAsia="宋体" w:cs="Times New Roman"/>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成品一次检验合格率99.5%</w:t>
                  </w:r>
                </w:p>
                <w:p>
                  <w:pPr>
                    <w:shd w:val="clear" w:color="auto" w:fill="C7DAF1" w:themeFill="text2" w:themeFillTint="32"/>
                    <w:rPr>
                      <w:rFonts w:hint="eastAsia" w:ascii="Times New Roman" w:hAnsi="Times New Roman" w:eastAsia="宋体" w:cs="Times New Roman"/>
                      <w:lang w:val="en-US" w:eastAsia="zh-CN"/>
                    </w:rPr>
                  </w:pP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每年调查一次</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试验部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顾客满意率≥90%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每年调查一次</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业务部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交货及时率100%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第批次</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业务部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w:t>
            </w:r>
            <w:r>
              <w:rPr>
                <w:rFonts w:hint="eastAsia"/>
              </w:rPr>
              <w:sym w:font="Wingdings 2" w:char="00A3"/>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2</w:t>
            </w:r>
            <w:r>
              <w:rPr>
                <w:rFonts w:hint="eastAsia"/>
              </w:rPr>
              <w:t>个；库房个；实验室</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lang w:val="en-US" w:eastAsia="zh-CN"/>
              </w:rPr>
              <w:t>搅拌</w:t>
            </w:r>
            <w:r>
              <w:rPr>
                <w:rFonts w:hint="eastAsia"/>
                <w:u w:val="single"/>
                <w:lang w:val="en-US" w:eastAsia="zh-CN"/>
              </w:rPr>
              <w:t>生产线A和B,混凝土运输车辆</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2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u w:val="single"/>
                <w:lang w:val="en-US"/>
              </w:rPr>
            </w:pPr>
            <w:r>
              <w:rPr>
                <w:rFonts w:hint="eastAsia"/>
              </w:rPr>
              <w:t>组织的</w:t>
            </w:r>
            <w:r>
              <w:t>监视和测量资源</w:t>
            </w:r>
            <w:r>
              <w:rPr>
                <w:rFonts w:hint="eastAsia"/>
              </w:rPr>
              <w:t>：</w:t>
            </w:r>
            <w:r>
              <w:rPr>
                <w:rFonts w:hint="eastAsia" w:ascii="Wingdings" w:hAnsi="Wingdings"/>
                <w:lang w:val="en-US" w:eastAsia="zh-CN"/>
              </w:rPr>
              <w:t>相关</w:t>
            </w:r>
            <w:r>
              <w:rPr>
                <w:rFonts w:hint="eastAsia"/>
                <w:lang w:val="en-US" w:eastAsia="zh-CN"/>
              </w:rPr>
              <w:t>服务过程主要涉及时间计量等方面信息，无校准要求。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fill="C7DAF1" w:themeFill="text2" w:themeFillTint="32"/>
                    <w:jc w:val="left"/>
                    <w:rPr>
                      <w:rFonts w:hint="default" w:eastAsia="宋体"/>
                      <w:lang w:val="en-US" w:eastAsia="zh-CN"/>
                    </w:rPr>
                  </w:pPr>
                  <w:r>
                    <w:rPr>
                      <w:rFonts w:hint="eastAsia"/>
                      <w:lang w:val="en-US" w:eastAsia="zh-CN"/>
                    </w:rPr>
                    <w:t>混凝土生产</w:t>
                  </w: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混合配料过程</w:t>
                  </w:r>
                </w:p>
              </w:tc>
              <w:tc>
                <w:tcPr>
                  <w:tcW w:w="3265" w:type="dxa"/>
                </w:tcPr>
                <w:p>
                  <w:pPr>
                    <w:shd w:val="clear" w:color="auto" w:fill="C7DAF1" w:themeFill="text2" w:themeFillTint="32"/>
                    <w:jc w:val="left"/>
                  </w:pPr>
                  <w:r>
                    <w:rPr>
                      <w:rFonts w:hint="eastAsia" w:ascii="Times New Roman" w:hAnsi="Times New Roman" w:eastAsia="宋体" w:cs="Times New Roman"/>
                      <w:lang w:val="en-US" w:eastAsia="zh-CN"/>
                    </w:rPr>
                    <w:t>总量不得大于500kg/m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，水胶比不得大于0.35，掺合料的最大掺量不超过水泥质量的25%；拌和物最小含气量控制在3％~4%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Borders/>
                </w:tcPr>
                <w:p>
                  <w:pPr>
                    <w:shd w:val="clear" w:color="auto" w:fill="C7DAF1" w:themeFill="text2" w:themeFillTint="32"/>
                    <w:jc w:val="left"/>
                  </w:pP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搅拌过程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搅拌时间不少于2min，一般情况下也不超过3min，冬期施工时，水温加热时不能超过80℃</w:t>
                  </w:r>
                </w:p>
              </w:tc>
            </w:tr>
          </w:tbl>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报告编号：GCD202100248，检验机构：金华市计量质量科学研究院</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16~17</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YTE0MGY2ZDNlMWRjNTY0YzZjODI1ZjhiNzdmYzQifQ=="/>
  </w:docVars>
  <w:rsids>
    <w:rsidRoot w:val="00000000"/>
    <w:rsid w:val="1F60462D"/>
    <w:rsid w:val="55CE3F18"/>
    <w:rsid w:val="58FF45B5"/>
    <w:rsid w:val="5DC64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18511</Words>
  <Characters>19196</Characters>
  <Lines>150</Lines>
  <Paragraphs>42</Paragraphs>
  <TotalTime>2</TotalTime>
  <ScaleCrop>false</ScaleCrop>
  <LinksUpToDate>false</LinksUpToDate>
  <CharactersWithSpaces>19317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2022-05-30T05:37:15Z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