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浙江遂金特种铸造有限公司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sz w:val="21"/>
                <w:szCs w:val="21"/>
              </w:rPr>
              <w:t>包海平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lang w:val="en-US" w:eastAsia="zh-CN"/>
              </w:rPr>
              <w:t>现场查看污水处理设备使用到硫酸溶液，但现场未能张贴相应的MSDS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</w:t>
            </w:r>
            <w:bookmarkStart w:id="2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64490" cy="342265"/>
                  <wp:effectExtent l="0" t="0" r="3810" b="635"/>
                  <wp:docPr id="1" name="图片 1" descr="159002712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590027124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9236" r="200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32AF1377"/>
    <w:rsid w:val="389668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424</Words>
  <Characters>600</Characters>
  <Lines>6</Lines>
  <Paragraphs>1</Paragraphs>
  <TotalTime>0</TotalTime>
  <ScaleCrop>false</ScaleCrop>
  <LinksUpToDate>false</LinksUpToDate>
  <CharactersWithSpaces>859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2022-06-02T05:51:03Z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