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b/>
                <w:sz w:val="20"/>
              </w:rPr>
              <w:t>河北</w:t>
            </w:r>
            <w:r>
              <w:rPr>
                <w:rFonts w:hint="eastAsia"/>
                <w:b/>
                <w:sz w:val="20"/>
                <w:lang w:val="en-US" w:eastAsia="zh-CN"/>
              </w:rPr>
              <w:t>江德商砼</w:t>
            </w:r>
            <w:r>
              <w:rPr>
                <w:b/>
                <w:sz w:val="20"/>
              </w:rPr>
              <w:t>有限公司</w:t>
            </w:r>
            <w:bookmarkEnd w:id="0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b/>
                <w:sz w:val="20"/>
              </w:rPr>
              <w:t>2.4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144145</wp:posOffset>
                  </wp:positionV>
                  <wp:extent cx="1054735" cy="236220"/>
                  <wp:effectExtent l="0" t="0" r="12065" b="5080"/>
                  <wp:wrapSquare wrapText="bothSides"/>
                  <wp:docPr id="12" name="图片 12" descr="791d1d5b17ccea608584f0de260a8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791d1d5b17ccea608584f0de260a82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735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2.4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  <w:bookmarkStart w:id="2" w:name="_GoBack"/>
            <w:bookmarkEnd w:id="2"/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-7620</wp:posOffset>
                  </wp:positionV>
                  <wp:extent cx="1389380" cy="300990"/>
                  <wp:effectExtent l="0" t="0" r="7620" b="3810"/>
                  <wp:wrapSquare wrapText="bothSides"/>
                  <wp:docPr id="1" name="图片 1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审核任务\电子签\李丽英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015" cy="300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rFonts w:hint="default" w:eastAsia="宋体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-23495</wp:posOffset>
                  </wp:positionV>
                  <wp:extent cx="539115" cy="353695"/>
                  <wp:effectExtent l="0" t="0" r="6985" b="1905"/>
                  <wp:wrapSquare wrapText="bothSides"/>
                  <wp:docPr id="5" name="图片 1" descr="9611b729e1be843596d3adf8c2569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9611b729e1be843596d3adf8c2569b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原材料（骨料、粉料）--上料（骨料上料、粉料上料）--配料（骨料配料、粉料配料）--水称量--外加剂称量--搅拌--抽测</w:t>
            </w:r>
          </w:p>
          <w:p>
            <w:pPr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主要能源使用：生产用电和水；产品运输和厂内运输用柴油；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主要能源绩效参数：综合能耗tce，生产综合能耗kgce/m</w:t>
            </w:r>
            <w:r>
              <w:rPr>
                <w:rFonts w:hint="eastAsia"/>
                <w:b/>
                <w:sz w:val="20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lang w:val="en-US" w:eastAsia="zh-CN"/>
              </w:rPr>
              <w:t>，运输综合能耗kgce/m</w:t>
            </w:r>
            <w:r>
              <w:rPr>
                <w:rFonts w:hint="eastAsia"/>
                <w:b/>
                <w:sz w:val="20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节约能源法、合同法、计量法、能源管理体系、建筑材料企业能源管理体系认证要求、商品混凝土生产能源消耗限额标准、综合能耗计算通则等。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其他专业知识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-4819015</wp:posOffset>
                  </wp:positionV>
                  <wp:extent cx="1054735" cy="236220"/>
                  <wp:effectExtent l="0" t="0" r="12065" b="5080"/>
                  <wp:wrapSquare wrapText="bothSides"/>
                  <wp:docPr id="3" name="图片 3" descr="791d1d5b17ccea608584f0de260a8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91d1d5b17ccea608584f0de260a82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735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-4913630</wp:posOffset>
                  </wp:positionV>
                  <wp:extent cx="1389380" cy="300990"/>
                  <wp:effectExtent l="0" t="0" r="7620" b="3810"/>
                  <wp:wrapSquare wrapText="bothSides"/>
                  <wp:docPr id="4" name="图片 4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\审核任务\电子签\李丽英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380" cy="300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2022.6.3</w:t>
            </w:r>
          </w:p>
        </w:tc>
      </w:tr>
    </w:tbl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C4C1B0D"/>
    <w:rsid w:val="45F43D72"/>
    <w:rsid w:val="5D107D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2022-06-04T08:05:52Z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