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0517-2022-EnMs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河北江德商砼有限公司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2022年05月28日 上午至2022年05月28日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RBT 121-2016 能源管理体系 建材企业(不含水泥、玻璃、陶瓷)企业认证要求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r>
              <w:rPr>
                <w:rFonts w:hint="default" w:ascii="宋体" w:hAnsi="Times New Roman" w:eastAsia="宋体" w:cs="Times New Roman"/>
                <w:b/>
                <w:color w:val="0000FF"/>
                <w:szCs w:val="21"/>
                <w:lang w:val="en-US" w:eastAsia="zh-CN"/>
              </w:rPr>
              <w:t>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w:t>
            </w:r>
            <w:r>
              <w:rPr>
                <w:rFonts w:hint="eastAsia" w:ascii="宋体"/>
                <w:b/>
                <w:color w:val="0000FF"/>
                <w:szCs w:val="21"/>
              </w:rPr>
              <w:sym w:font="Wingdings 2" w:char="0052"/>
            </w:r>
            <w:r>
              <w:rPr>
                <w:rFonts w:hint="eastAsia" w:ascii="宋体"/>
                <w:b/>
                <w:color w:val="0000FF"/>
                <w:szCs w:val="21"/>
              </w:rPr>
              <w:t>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孔祥春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ISC-JSZJ-412</w:t>
            </w:r>
          </w:p>
          <w:p>
            <w:pPr>
              <w:spacing w:line="240" w:lineRule="exact"/>
              <w:jc w:val="center"/>
              <w:rPr>
                <w:b/>
                <w:color w:val="000000"/>
                <w:szCs w:val="21"/>
              </w:rPr>
            </w:pPr>
            <w:r>
              <w:rPr>
                <w:b/>
                <w:color w:val="000000"/>
                <w:szCs w:val="21"/>
              </w:rPr>
              <w:t>保定津森拓新型建材有限公司</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河北江德商砼有限公司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河北省保定市定兴县姚村镇西马庄村村北</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072650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河北省保定市定兴县姚村镇西马庄村村北</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072650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王鹏程</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15832216892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姚蕊</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王鹏程</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vAlign w:val="top"/>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预拌混凝土</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vAlign w:val="top"/>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leftChars="0" w:hanging="360" w:firstLineChars="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top"/>
          </w:tcPr>
          <w:p>
            <w:pPr>
              <w:tabs>
                <w:tab w:val="left" w:pos="360"/>
              </w:tabs>
              <w:ind w:left="360" w:leftChars="0" w:hanging="360" w:firstLineChars="0"/>
              <w:rPr>
                <w:rFonts w:hint="default"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原材料（骨料、粉料）--上料（骨料上料、粉料上料）--配料（骨料配料、粉料配料）--水称量--外加剂称量--搅拌--抽测</w:t>
            </w:r>
            <w:r>
              <w:rPr>
                <w:rFonts w:hint="eastAsia" w:ascii="宋体" w:hAnsi="宋体" w:cs="Times New Roman"/>
                <w:b/>
                <w:color w:val="000000"/>
                <w:szCs w:val="21"/>
                <w:lang w:val="en-US" w:eastAsia="zh-CN"/>
              </w:rPr>
              <w:t>（产品检验）</w:t>
            </w:r>
          </w:p>
          <w:p>
            <w:pPr>
              <w:tabs>
                <w:tab w:val="left" w:pos="360"/>
              </w:tabs>
              <w:ind w:left="360" w:leftChars="0" w:hanging="360" w:firstLineChars="0"/>
              <w:rPr>
                <w:rFonts w:hint="eastAsia" w:ascii="宋体" w:hAnsi="宋体" w:eastAsia="宋体" w:cs="Times New Roman"/>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预拌混凝土的生产及销售所涉及的能源管理活动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hAnsi="宋体"/>
                <w:color w:val="000000"/>
                <w:szCs w:val="21"/>
              </w:rPr>
              <w:t>运作方式：</w:t>
            </w:r>
            <w:r>
              <w:rPr>
                <w:rFonts w:hint="eastAsia" w:ascii="宋体" w:hAnsi="宋体"/>
                <w:color w:val="000000"/>
                <w:spacing w:val="-10"/>
                <w:szCs w:val="21"/>
                <w:highlight w:val="none"/>
              </w:rPr>
              <w:sym w:font="Wingdings 2" w:char="00A3"/>
            </w:r>
            <w:r>
              <w:rPr>
                <w:rFonts w:hint="eastAsia" w:ascii="宋体" w:hAnsi="宋体"/>
                <w:color w:val="000000"/>
                <w:szCs w:val="21"/>
                <w:highlight w:val="none"/>
              </w:rPr>
              <w:t>单班次生产</w:t>
            </w:r>
            <w:r>
              <w:rPr>
                <w:rFonts w:hint="eastAsia" w:ascii="宋体" w:hAnsi="宋体"/>
                <w:color w:val="000000"/>
                <w:szCs w:val="21"/>
                <w:highlight w:val="none"/>
                <w:lang w:val="en-US" w:eastAsia="zh-CN"/>
              </w:rPr>
              <w:t xml:space="preserve">   </w:t>
            </w: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多班次生产</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三班两倒</w:t>
            </w:r>
            <w:r>
              <w:rPr>
                <w:rFonts w:hint="eastAsia" w:ascii="宋体" w:hAnsi="宋体"/>
                <w:color w:val="000000"/>
                <w:szCs w:val="21"/>
                <w:highlight w:val="none"/>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09"/>
        <w:gridCol w:w="630"/>
        <w:gridCol w:w="1930"/>
        <w:gridCol w:w="18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3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河北江德商砼有限公司</w:t>
            </w:r>
            <w:r>
              <w:rPr>
                <w:rFonts w:hint="eastAsia"/>
                <w:sz w:val="21"/>
                <w:szCs w:val="21"/>
                <w:lang w:val="en-US" w:eastAsia="zh-CN"/>
              </w:rPr>
              <w:t>/</w:t>
            </w:r>
            <w:r>
              <w:rPr>
                <w:sz w:val="21"/>
                <w:szCs w:val="21"/>
              </w:rPr>
              <w:t>河北省保定市定兴县姚村镇西马庄村村北</w:t>
            </w:r>
          </w:p>
        </w:tc>
        <w:tc>
          <w:tcPr>
            <w:tcW w:w="1909" w:type="dxa"/>
          </w:tcPr>
          <w:p>
            <w:pPr>
              <w:spacing w:before="40" w:after="40"/>
              <w:rPr>
                <w:rFonts w:eastAsia="黑体"/>
                <w:szCs w:val="21"/>
                <w:lang w:val="de-DE" w:eastAsia="ja-JP"/>
              </w:rPr>
            </w:pPr>
            <w:r>
              <w:rPr>
                <w:sz w:val="21"/>
                <w:szCs w:val="21"/>
              </w:rPr>
              <w:t>河北省保定市定兴县姚村镇西马庄村村北</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930" w:type="dxa"/>
            <w:vAlign w:val="center"/>
          </w:tcPr>
          <w:p>
            <w:pPr>
              <w:pStyle w:val="19"/>
              <w:rPr>
                <w:rFonts w:eastAsia="黑体" w:cs="Arial"/>
                <w:sz w:val="21"/>
                <w:szCs w:val="21"/>
                <w:lang w:val="en-US" w:eastAsia="ja-JP"/>
              </w:rPr>
            </w:pPr>
            <w:r>
              <w:t>预拌混凝土的生产及销售所涉及的能源管理活动</w:t>
            </w:r>
          </w:p>
        </w:tc>
        <w:tc>
          <w:tcPr>
            <w:tcW w:w="184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RB/T121-2016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909" w:type="dxa"/>
            <w:vAlign w:val="center"/>
          </w:tcPr>
          <w:p>
            <w:pPr>
              <w:spacing w:before="40" w:after="40"/>
              <w:rPr>
                <w:rFonts w:eastAsia="黑体"/>
                <w:szCs w:val="21"/>
                <w:lang w:eastAsia="ja-JP"/>
              </w:rPr>
            </w:pPr>
          </w:p>
        </w:tc>
        <w:tc>
          <w:tcPr>
            <w:tcW w:w="630" w:type="dxa"/>
            <w:vAlign w:val="center"/>
          </w:tcPr>
          <w:p>
            <w:pPr>
              <w:spacing w:before="40" w:after="40"/>
              <w:rPr>
                <w:rFonts w:eastAsia="黑体"/>
                <w:szCs w:val="21"/>
                <w:lang w:eastAsia="ja-JP"/>
              </w:rPr>
            </w:pPr>
          </w:p>
        </w:tc>
        <w:tc>
          <w:tcPr>
            <w:tcW w:w="1930" w:type="dxa"/>
            <w:vAlign w:val="center"/>
          </w:tcPr>
          <w:p>
            <w:pPr>
              <w:spacing w:before="40" w:after="40"/>
              <w:rPr>
                <w:rFonts w:eastAsia="黑体"/>
                <w:szCs w:val="21"/>
                <w:lang w:eastAsia="ja-JP"/>
              </w:rPr>
            </w:pPr>
          </w:p>
        </w:tc>
        <w:tc>
          <w:tcPr>
            <w:tcW w:w="18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GB" w:eastAsia="zh-CN" w:bidi="ar-SA"/>
              </w:rPr>
            </w:pPr>
            <w:r>
              <w:rPr>
                <w:rFonts w:hint="eastAsia" w:ascii="宋体" w:hAnsi="宋体" w:eastAsia="宋体" w:cs="Times New Roman"/>
                <w:b w:val="0"/>
                <w:color w:val="000000"/>
                <w:spacing w:val="-10"/>
                <w:kern w:val="2"/>
                <w:sz w:val="21"/>
                <w:szCs w:val="21"/>
                <w:lang w:val="en-US" w:eastAsia="zh-CN" w:bidi="ar-SA"/>
              </w:rPr>
              <w:sym w:font="Wingdings 2" w:char="0052"/>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val="0"/>
                <w:color w:val="000000"/>
                <w:spacing w:val="-10"/>
                <w:kern w:val="2"/>
                <w:sz w:val="21"/>
                <w:szCs w:val="21"/>
                <w:lang w:val="en-US" w:eastAsia="zh-CN" w:bidi="ar-SA"/>
              </w:rPr>
            </w:pPr>
            <w:r>
              <w:rPr>
                <w:rFonts w:hint="eastAsia" w:ascii="宋体" w:hAnsi="宋体"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hint="eastAsia" w:ascii="宋体" w:hAnsi="宋体" w:eastAsia="宋体" w:cs="Times New Roman"/>
                <w:b w:val="0"/>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28-29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年4月11日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无多场所</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6</w:t>
            </w:r>
            <w:r>
              <w:rPr>
                <w:rFonts w:hint="eastAsia" w:ascii="宋体"/>
                <w:b/>
                <w:color w:val="000000"/>
                <w:szCs w:val="21"/>
              </w:rPr>
              <w:t>-</w:t>
            </w:r>
            <w:bookmarkEnd w:id="33"/>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0" distR="0" simplePos="0" relativeHeight="251660288" behindDoc="0" locked="0" layoutInCell="1" allowOverlap="1">
            <wp:simplePos x="0" y="0"/>
            <wp:positionH relativeFrom="column">
              <wp:posOffset>1805940</wp:posOffset>
            </wp:positionH>
            <wp:positionV relativeFrom="paragraph">
              <wp:posOffset>81280</wp:posOffset>
            </wp:positionV>
            <wp:extent cx="1389380" cy="491490"/>
            <wp:effectExtent l="0" t="0" r="7620" b="3810"/>
            <wp:wrapSquare wrapText="bothSides"/>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1390015" cy="491656"/>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4542155</wp:posOffset>
            </wp:positionH>
            <wp:positionV relativeFrom="paragraph">
              <wp:posOffset>-190500</wp:posOffset>
            </wp:positionV>
            <wp:extent cx="1054735" cy="382270"/>
            <wp:effectExtent l="0" t="0" r="12065" b="11430"/>
            <wp:wrapSquare wrapText="bothSides"/>
            <wp:docPr id="12" name="图片 12" descr="791d1d5b17ccea608584f0de260a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91d1d5b17ccea608584f0de260a82f"/>
                    <pic:cNvPicPr>
                      <a:picLocks noChangeAspect="1"/>
                    </pic:cNvPicPr>
                  </pic:nvPicPr>
                  <pic:blipFill>
                    <a:blip r:embed="rId7"/>
                    <a:stretch>
                      <a:fillRect/>
                    </a:stretch>
                  </pic:blipFill>
                  <pic:spPr>
                    <a:xfrm>
                      <a:off x="0" y="0"/>
                      <a:ext cx="1054735" cy="382270"/>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5080000" cy="6165850"/>
            <wp:effectExtent l="0" t="0" r="0"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5080000" cy="6165850"/>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河北江德商砼有限公司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5"/>
        <w:gridCol w:w="175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rFonts w:hint="eastAsia" w:ascii="宋体"/>
                <w:color w:val="000000"/>
                <w:sz w:val="21"/>
                <w:szCs w:val="21"/>
                <w:lang w:val="en-US" w:eastAsia="zh-CN"/>
              </w:rPr>
              <w:t>1</w:t>
            </w:r>
          </w:p>
        </w:tc>
        <w:tc>
          <w:tcPr>
            <w:tcW w:w="5363"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法律法规清单中未识别“预拌混凝土单位产品能源消耗限额”标准</w:t>
            </w:r>
          </w:p>
        </w:tc>
        <w:tc>
          <w:tcPr>
            <w:tcW w:w="1750"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133"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4.2</w:t>
            </w:r>
          </w:p>
        </w:tc>
        <w:tc>
          <w:tcPr>
            <w:tcW w:w="934"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36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anchor distT="0" distB="0" distL="0" distR="0" simplePos="0" relativeHeight="251662336" behindDoc="0" locked="0" layoutInCell="1" allowOverlap="1">
                  <wp:simplePos x="0" y="0"/>
                  <wp:positionH relativeFrom="column">
                    <wp:posOffset>669290</wp:posOffset>
                  </wp:positionH>
                  <wp:positionV relativeFrom="paragraph">
                    <wp:posOffset>-111760</wp:posOffset>
                  </wp:positionV>
                  <wp:extent cx="888365" cy="243840"/>
                  <wp:effectExtent l="0" t="0" r="635" b="10160"/>
                  <wp:wrapSquare wrapText="bothSides"/>
                  <wp:docPr id="3" name="图片 3"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drawing>
                <wp:anchor distT="0" distB="0" distL="0" distR="0" simplePos="0" relativeHeight="251663360" behindDoc="0" locked="0" layoutInCell="1" allowOverlap="1">
                  <wp:simplePos x="0" y="0"/>
                  <wp:positionH relativeFrom="column">
                    <wp:posOffset>535305</wp:posOffset>
                  </wp:positionH>
                  <wp:positionV relativeFrom="paragraph">
                    <wp:posOffset>-111760</wp:posOffset>
                  </wp:positionV>
                  <wp:extent cx="888365" cy="243840"/>
                  <wp:effectExtent l="0" t="0" r="635" b="10160"/>
                  <wp:wrapSquare wrapText="bothSides"/>
                  <wp:docPr id="5"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审核任务\电子签\李丽英电子签名.png"/>
                          <pic:cNvPicPr>
                            <a:picLocks noChangeAspect="1" noChangeArrowheads="1"/>
                          </pic:cNvPicPr>
                        </pic:nvPicPr>
                        <pic:blipFill>
                          <a:blip r:embed="rId6" cstate="print"/>
                          <a:srcRect/>
                          <a:stretch>
                            <a:fillRect/>
                          </a:stretch>
                        </pic:blipFill>
                        <pic:spPr>
                          <a:xfrm>
                            <a:off x="0" y="0"/>
                            <a:ext cx="888365" cy="243840"/>
                          </a:xfrm>
                          <a:prstGeom prst="rect">
                            <a:avLst/>
                          </a:prstGeom>
                          <a:noFill/>
                          <a:ln w="9525">
                            <a:noFill/>
                            <a:miter lim="800000"/>
                            <a:headEnd/>
                            <a:tailEnd/>
                          </a:ln>
                        </pic:spPr>
                      </pic:pic>
                    </a:graphicData>
                  </a:graphic>
                </wp:anchor>
              </w:drawing>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583CFA"/>
    <w:rsid w:val="0E600938"/>
    <w:rsid w:val="314F39C3"/>
    <w:rsid w:val="32F102F8"/>
    <w:rsid w:val="6BB43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2022-05-28T06:35:15Z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