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成都市新都永通机械厂</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成都市新都永通机械厂</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成都市新都区石板滩镇集体村4社</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z w:val="20"/>
                <w:szCs w:val="20"/>
              </w:rPr>
              <w:t>610511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成都市新都区石板滩镇集体村4社</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610511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张玉芬</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15928585449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陈建平</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张玉芬</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石油机械、化工机械、食品机械的制造</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2019-05-14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929"/>
        <w:gridCol w:w="1623"/>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92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623" w:type="dxa"/>
          </w:tcPr>
          <w:p>
            <w:pPr>
              <w:rPr>
                <w:b/>
                <w:color w:val="000000" w:themeColor="text1"/>
                <w:sz w:val="20"/>
                <w:szCs w:val="20"/>
              </w:rPr>
            </w:pPr>
            <w:r>
              <w:rPr>
                <w:rFonts w:hint="eastAsia"/>
                <w:b/>
                <w:color w:val="000000" w:themeColor="text1"/>
                <w:sz w:val="20"/>
                <w:szCs w:val="20"/>
              </w:rPr>
              <w:t>规格</w:t>
            </w:r>
          </w:p>
        </w:tc>
        <w:tc>
          <w:tcPr>
            <w:tcW w:w="435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石油机械、化工机械、食品机械的制造 </w:t>
            </w:r>
          </w:p>
        </w:tc>
        <w:tc>
          <w:tcPr>
            <w:tcW w:w="1929" w:type="dxa"/>
          </w:tcPr>
          <w:p>
            <w:pPr>
              <w:rPr>
                <w:b/>
                <w:color w:val="000000" w:themeColor="text1"/>
                <w:sz w:val="20"/>
                <w:szCs w:val="20"/>
              </w:rPr>
            </w:pPr>
          </w:p>
        </w:tc>
        <w:tc>
          <w:tcPr>
            <w:tcW w:w="1623" w:type="dxa"/>
          </w:tcPr>
          <w:p>
            <w:pPr>
              <w:rPr>
                <w:b/>
                <w:color w:val="000000" w:themeColor="text1"/>
                <w:sz w:val="20"/>
                <w:szCs w:val="20"/>
              </w:rPr>
            </w:pPr>
          </w:p>
        </w:tc>
        <w:tc>
          <w:tcPr>
            <w:tcW w:w="4353" w:type="dxa"/>
          </w:tcPr>
          <w:p>
            <w:pPr>
              <w:rPr>
                <w:b/>
                <w:color w:val="000000" w:themeColor="text1"/>
                <w:sz w:val="20"/>
                <w:szCs w:val="20"/>
              </w:rPr>
            </w:pPr>
            <w:r>
              <w:rPr>
                <w:rFonts w:hint="eastAsia" w:ascii="宋体" w:hAnsi="宋体" w:cs="宋体"/>
                <w:sz w:val="21"/>
                <w:szCs w:val="21"/>
              </w:rPr>
              <w:t>未注尺寸公差GB/T 1804-2000</w:t>
            </w:r>
            <w:r>
              <w:rPr>
                <w:rFonts w:hint="eastAsia" w:ascii="宋体" w:hAnsi="宋体" w:cs="宋体"/>
                <w:sz w:val="21"/>
                <w:szCs w:val="21"/>
                <w:lang w:eastAsia="zh-CN"/>
              </w:rPr>
              <w:t>、</w:t>
            </w:r>
            <w:r>
              <w:rPr>
                <w:rFonts w:hint="eastAsia" w:ascii="宋体" w:hAnsi="宋体" w:cs="宋体"/>
                <w:sz w:val="21"/>
                <w:szCs w:val="21"/>
              </w:rPr>
              <w:t>气焊设备 焊接、切割及相关工艺用炬JB/T 7947-2017</w:t>
            </w:r>
            <w:r>
              <w:rPr>
                <w:rFonts w:hint="eastAsia" w:ascii="宋体" w:hAnsi="Calibri" w:cs="宋体"/>
                <w:color w:val="000000"/>
                <w:kern w:val="0"/>
                <w:sz w:val="20"/>
                <w:szCs w:val="20"/>
              </w:rPr>
              <w:t>机械加工工艺装备基本术语GB</w:t>
            </w:r>
            <w:r>
              <w:rPr>
                <w:rFonts w:hint="eastAsia" w:ascii="宋体" w:hAnsi="Calibri" w:cs="宋体"/>
                <w:color w:val="000000"/>
                <w:kern w:val="0"/>
                <w:sz w:val="20"/>
                <w:szCs w:val="20"/>
                <w:lang w:val="en-US" w:eastAsia="zh-CN"/>
              </w:rPr>
              <w:t>/</w:t>
            </w:r>
            <w:r>
              <w:rPr>
                <w:rFonts w:hint="eastAsia" w:ascii="宋体" w:hAnsi="Calibri" w:cs="宋体"/>
                <w:color w:val="000000"/>
                <w:kern w:val="0"/>
                <w:sz w:val="20"/>
                <w:szCs w:val="20"/>
              </w:rPr>
              <w:t>T</w:t>
            </w:r>
            <w:r>
              <w:rPr>
                <w:rFonts w:hint="eastAsia" w:ascii="宋体" w:hAnsi="Calibri" w:cs="宋体"/>
                <w:color w:val="000000"/>
                <w:kern w:val="0"/>
                <w:sz w:val="20"/>
                <w:szCs w:val="20"/>
                <w:lang w:val="en-US" w:eastAsia="zh-CN"/>
              </w:rPr>
              <w:t xml:space="preserve"> </w:t>
            </w:r>
            <w:r>
              <w:rPr>
                <w:rFonts w:hint="eastAsia" w:ascii="宋体" w:hAnsi="Calibri" w:cs="宋体"/>
                <w:color w:val="000000"/>
                <w:kern w:val="0"/>
                <w:sz w:val="20"/>
                <w:szCs w:val="20"/>
              </w:rPr>
              <w:t>1008</w:t>
            </w:r>
            <w:r>
              <w:rPr>
                <w:rFonts w:hint="eastAsia" w:ascii="宋体" w:hAnsi="Calibri" w:cs="宋体"/>
                <w:color w:val="000000"/>
                <w:kern w:val="0"/>
                <w:sz w:val="20"/>
                <w:szCs w:val="20"/>
                <w:lang w:val="en-US" w:eastAsia="zh-CN"/>
              </w:rPr>
              <w:t>-2008、</w:t>
            </w:r>
            <w:r>
              <w:rPr>
                <w:rFonts w:hint="eastAsia" w:ascii="宋体" w:hAnsi="Calibri" w:cs="宋体"/>
                <w:color w:val="000000"/>
                <w:kern w:val="0"/>
                <w:sz w:val="20"/>
                <w:szCs w:val="20"/>
              </w:rPr>
              <w:t>机械加工定位、夹紧符号JB</w:t>
            </w:r>
            <w:r>
              <w:rPr>
                <w:rFonts w:hint="eastAsia" w:ascii="宋体" w:hAnsi="Calibri" w:cs="宋体"/>
                <w:color w:val="000000"/>
                <w:kern w:val="0"/>
                <w:sz w:val="20"/>
                <w:szCs w:val="20"/>
                <w:lang w:val="en-US" w:eastAsia="zh-CN"/>
              </w:rPr>
              <w:t>/</w:t>
            </w:r>
            <w:r>
              <w:rPr>
                <w:rFonts w:hint="eastAsia" w:ascii="宋体" w:hAnsi="Calibri" w:cs="宋体"/>
                <w:color w:val="000000"/>
                <w:kern w:val="0"/>
                <w:sz w:val="20"/>
                <w:szCs w:val="20"/>
              </w:rPr>
              <w:t>T</w:t>
            </w:r>
            <w:r>
              <w:rPr>
                <w:rFonts w:hint="eastAsia" w:ascii="宋体" w:hAnsi="Calibri" w:cs="宋体"/>
                <w:color w:val="000000"/>
                <w:kern w:val="0"/>
                <w:sz w:val="20"/>
                <w:szCs w:val="20"/>
                <w:lang w:val="en-US" w:eastAsia="zh-CN"/>
              </w:rPr>
              <w:t xml:space="preserve"> </w:t>
            </w:r>
            <w:r>
              <w:rPr>
                <w:rFonts w:hint="eastAsia" w:ascii="宋体" w:hAnsi="Calibri" w:cs="宋体"/>
                <w:color w:val="000000"/>
                <w:kern w:val="0"/>
                <w:sz w:val="20"/>
                <w:szCs w:val="20"/>
              </w:rPr>
              <w:t>5061</w:t>
            </w:r>
            <w:r>
              <w:rPr>
                <w:rFonts w:hint="eastAsia" w:ascii="宋体" w:hAnsi="Calibri" w:cs="宋体"/>
                <w:color w:val="000000"/>
                <w:kern w:val="0"/>
                <w:sz w:val="20"/>
                <w:szCs w:val="20"/>
                <w:lang w:val="en-US" w:eastAsia="zh-CN"/>
              </w:rPr>
              <w:t>-2006、</w:t>
            </w:r>
            <w:r>
              <w:rPr>
                <w:rFonts w:hint="eastAsia" w:ascii="宋体" w:hAnsi="Calibri" w:cs="宋体"/>
                <w:color w:val="000000"/>
                <w:kern w:val="0"/>
                <w:sz w:val="20"/>
                <w:szCs w:val="20"/>
              </w:rPr>
              <w:t>械加工工艺守则JB</w:t>
            </w:r>
            <w:r>
              <w:rPr>
                <w:rFonts w:hint="eastAsia" w:ascii="宋体" w:hAnsi="Calibri" w:cs="宋体"/>
                <w:color w:val="000000"/>
                <w:kern w:val="0"/>
                <w:sz w:val="20"/>
                <w:szCs w:val="20"/>
                <w:lang w:val="en-US" w:eastAsia="zh-CN"/>
              </w:rPr>
              <w:t>/</w:t>
            </w:r>
            <w:r>
              <w:rPr>
                <w:rFonts w:hint="eastAsia" w:ascii="宋体" w:hAnsi="Calibri" w:cs="宋体"/>
                <w:color w:val="000000"/>
                <w:kern w:val="0"/>
                <w:sz w:val="20"/>
                <w:szCs w:val="20"/>
              </w:rPr>
              <w:t>T</w:t>
            </w:r>
            <w:r>
              <w:rPr>
                <w:rFonts w:hint="eastAsia" w:ascii="宋体" w:hAnsi="Calibri" w:cs="宋体"/>
                <w:color w:val="000000"/>
                <w:kern w:val="0"/>
                <w:sz w:val="20"/>
                <w:szCs w:val="20"/>
                <w:lang w:val="en-US" w:eastAsia="zh-CN"/>
              </w:rPr>
              <w:t xml:space="preserve"> </w:t>
            </w:r>
            <w:r>
              <w:rPr>
                <w:rFonts w:hint="eastAsia" w:ascii="宋体" w:hAnsi="Calibri" w:cs="宋体"/>
                <w:color w:val="000000"/>
                <w:kern w:val="0"/>
                <w:sz w:val="20"/>
                <w:szCs w:val="20"/>
              </w:rPr>
              <w:t>9168</w:t>
            </w:r>
            <w:r>
              <w:rPr>
                <w:rFonts w:hint="eastAsia" w:ascii="宋体" w:hAnsi="Calibri" w:cs="宋体"/>
                <w:color w:val="000000"/>
                <w:kern w:val="0"/>
                <w:sz w:val="20"/>
                <w:szCs w:val="20"/>
                <w:lang w:val="en-US" w:eastAsia="zh-CN"/>
              </w:rPr>
              <w:t>-2006、</w:t>
            </w:r>
            <w:r>
              <w:rPr>
                <w:rFonts w:hint="eastAsia" w:ascii="宋体" w:hAnsi="Calibri" w:cs="宋体"/>
                <w:color w:val="000000"/>
                <w:kern w:val="0"/>
                <w:sz w:val="20"/>
                <w:szCs w:val="20"/>
              </w:rPr>
              <w:t>产品几何技术规范（GPS) 表面结构 轮廓法 表面粗糙度参数及其数值GB/T 1031</w:t>
            </w:r>
            <w:r>
              <w:rPr>
                <w:rFonts w:hint="eastAsia" w:ascii="宋体" w:hAnsi="Calibri" w:cs="宋体"/>
                <w:color w:val="000000"/>
                <w:kern w:val="0"/>
                <w:sz w:val="20"/>
                <w:szCs w:val="20"/>
                <w:lang w:val="en-US" w:eastAsia="zh-CN"/>
              </w:rPr>
              <w:t>-2009</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2019年4月10日至2019年12月24日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 xml:space="preserve">质量第一、顾客至上、科技领先、追求卓越  </w:t>
            </w: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石油机械、化工机械、食品机械的制造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sz w:val="24"/>
                <w:szCs w:val="22"/>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b/>
                <w:color w:val="000000" w:themeColor="text1"/>
                <w:sz w:val="20"/>
                <w:szCs w:val="20"/>
                <w:lang w:eastAsia="zh-CN"/>
              </w:rPr>
              <w:t>焊接</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szCs w:val="21"/>
              </w:rPr>
              <w:t>该公司产品均</w:t>
            </w:r>
            <w:r>
              <w:rPr>
                <w:rFonts w:hint="eastAsia" w:ascii="宋体" w:hAnsi="宋体"/>
                <w:szCs w:val="21"/>
                <w:lang w:val="en-US" w:eastAsia="zh-CN"/>
              </w:rPr>
              <w:t>按照</w:t>
            </w:r>
            <w:r>
              <w:rPr>
                <w:rFonts w:hint="eastAsia" w:ascii="宋体" w:hAnsi="宋体"/>
                <w:szCs w:val="21"/>
              </w:rPr>
              <w:t>顾客的</w:t>
            </w:r>
            <w:r>
              <w:rPr>
                <w:rFonts w:hint="eastAsia" w:ascii="宋体" w:hAnsi="宋体"/>
                <w:szCs w:val="21"/>
                <w:lang w:eastAsia="zh-CN"/>
              </w:rPr>
              <w:t>技术</w:t>
            </w:r>
            <w:r>
              <w:rPr>
                <w:rFonts w:hint="eastAsia" w:ascii="宋体" w:hAnsi="宋体"/>
                <w:szCs w:val="21"/>
              </w:rPr>
              <w:t>要求进行生产</w:t>
            </w:r>
            <w:r>
              <w:rPr>
                <w:rFonts w:hint="eastAsia" w:ascii="宋体" w:hAnsi="宋体"/>
                <w:szCs w:val="21"/>
                <w:lang w:eastAsia="zh-CN"/>
              </w:rPr>
              <w:t>，</w:t>
            </w:r>
            <w:r>
              <w:rPr>
                <w:rFonts w:hint="eastAsia" w:ascii="宋体" w:hAnsi="宋体"/>
                <w:szCs w:val="21"/>
              </w:rPr>
              <w:t>不涉及设计，</w:t>
            </w:r>
            <w:r>
              <w:rPr>
                <w:rFonts w:hint="eastAsia" w:ascii="宋体" w:hAnsi="宋体"/>
                <w:szCs w:val="21"/>
                <w:lang w:eastAsia="zh-CN"/>
              </w:rPr>
              <w:t>生产工艺成熟，</w:t>
            </w:r>
            <w:r>
              <w:rPr>
                <w:rFonts w:hint="eastAsia" w:ascii="宋体" w:hAnsi="宋体"/>
                <w:szCs w:val="21"/>
              </w:rPr>
              <w:t>故标准</w:t>
            </w:r>
            <w:r>
              <w:rPr>
                <w:rFonts w:hint="eastAsia" w:ascii="宋体" w:hAnsi="宋体"/>
                <w:szCs w:val="21"/>
                <w:lang w:val="en-US" w:eastAsia="zh-CN"/>
              </w:rPr>
              <w:t>8.3不适用</w:t>
            </w:r>
            <w:r>
              <w:rPr>
                <w:rFonts w:hint="eastAsia" w:ascii="宋体" w:hAnsi="宋体"/>
                <w:szCs w:val="21"/>
              </w:rPr>
              <w:t>，不适用</w:t>
            </w:r>
            <w:r>
              <w:rPr>
                <w:rFonts w:hint="eastAsia" w:ascii="宋体" w:hAnsi="宋体"/>
                <w:szCs w:val="21"/>
                <w:lang w:eastAsia="zh-CN"/>
              </w:rPr>
              <w:t>理由</w:t>
            </w:r>
            <w:r>
              <w:rPr>
                <w:rFonts w:hint="eastAsia" w:ascii="宋体" w:hAnsi="宋体"/>
                <w:szCs w:val="21"/>
              </w:rPr>
              <w:t>合理。</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1、一次交验合格率≥95%</w:t>
            </w:r>
            <w:r>
              <w:rPr>
                <w:rFonts w:hint="eastAsia" w:cs="Times New Roman"/>
                <w:kern w:val="2"/>
                <w:sz w:val="21"/>
                <w:szCs w:val="21"/>
                <w:highlight w:val="none"/>
                <w:lang w:val="en-US" w:eastAsia="zh-CN" w:bidi="ar-SA"/>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2、产品出厂合格率达到100%</w:t>
            </w:r>
            <w:r>
              <w:rPr>
                <w:rFonts w:hint="eastAsia" w:cs="Times New Roman"/>
                <w:kern w:val="2"/>
                <w:sz w:val="21"/>
                <w:szCs w:val="21"/>
                <w:highlight w:val="none"/>
                <w:lang w:val="en-US" w:eastAsia="zh-CN" w:bidi="ar-SA"/>
              </w:rPr>
              <w:t>；</w:t>
            </w:r>
          </w:p>
          <w:p>
            <w:pPr>
              <w:spacing w:line="300" w:lineRule="exact"/>
              <w:rPr>
                <w:rFonts w:ascii="宋体" w:hAnsi="宋体"/>
                <w:b/>
                <w:color w:val="000000" w:themeColor="text1"/>
              </w:rPr>
            </w:pPr>
            <w:r>
              <w:rPr>
                <w:rFonts w:hint="eastAsia" w:ascii="宋体" w:hAnsi="宋体" w:cs="Times New Roman"/>
                <w:kern w:val="2"/>
                <w:sz w:val="21"/>
                <w:szCs w:val="21"/>
                <w:highlight w:val="none"/>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rPr>
                <w:rFonts w:ascii="宋体" w:hAnsi="宋体"/>
                <w:b/>
                <w:color w:val="000000" w:themeColor="text1"/>
                <w:sz w:val="20"/>
                <w:szCs w:val="20"/>
                <w:highlight w:val="none"/>
              </w:rPr>
            </w:pPr>
            <w:r>
              <w:rPr>
                <w:rFonts w:hint="eastAsia" w:ascii="宋体" w:hAnsi="宋体"/>
                <w:bCs/>
                <w:iCs/>
                <w:highlight w:val="none"/>
              </w:rPr>
              <w:t>厂房面积</w:t>
            </w:r>
            <w:r>
              <w:rPr>
                <w:rFonts w:hint="eastAsia" w:ascii="宋体" w:hAnsi="宋体"/>
                <w:bCs/>
                <w:iCs/>
                <w:highlight w:val="none"/>
                <w:lang w:val="en-US" w:eastAsia="zh-CN"/>
              </w:rPr>
              <w:t>800</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200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cs="宋体"/>
                <w:sz w:val="21"/>
                <w:szCs w:val="21"/>
                <w:highlight w:val="none"/>
                <w:lang w:val="en-US" w:eastAsia="zh-CN"/>
              </w:rPr>
              <w:t>车床2台、摇臂钻3台、卷板机1台、剪板机1台、折边机1台、切边机1台、焊机（直流焊机2台、二氧化碳保护焊机3台、交流焊机3台、氩弧焊机1台）、空压机1台、砂轮机</w:t>
            </w:r>
            <w:r>
              <w:rPr>
                <w:rFonts w:hint="eastAsia" w:ascii="宋体" w:hAnsi="宋体" w:cs="宋体"/>
                <w:sz w:val="21"/>
                <w:szCs w:val="21"/>
                <w:highlight w:val="none"/>
              </w:rPr>
              <w:t>等</w:t>
            </w:r>
            <w:r>
              <w:rPr>
                <w:rFonts w:hint="eastAsia" w:ascii="宋体" w:hAnsi="宋体"/>
                <w:bCs/>
                <w:iCs/>
                <w:highlight w:val="none"/>
                <w:lang w:eastAsia="zh-CN"/>
              </w:rPr>
              <w:t>，可以</w:t>
            </w:r>
            <w:r>
              <w:rPr>
                <w:rFonts w:hint="eastAsia" w:ascii="宋体" w:hAnsi="宋体"/>
                <w:bCs/>
                <w:iCs/>
                <w:highlight w:val="none"/>
              </w:rPr>
              <w:t>满足生产需要。对设备按月方式进行点检维护保养，并实施。特种设备：</w:t>
            </w:r>
            <w:r>
              <w:rPr>
                <w:rFonts w:hint="eastAsia" w:ascii="宋体" w:hAnsi="宋体"/>
                <w:bCs/>
                <w:iCs/>
                <w:highlight w:val="none"/>
                <w:lang w:eastAsia="zh-CN"/>
              </w:rPr>
              <w:t>行车</w:t>
            </w:r>
            <w:r>
              <w:rPr>
                <w:rFonts w:hint="eastAsia" w:ascii="宋体" w:hAnsi="宋体"/>
                <w:bCs/>
                <w:iCs/>
                <w:highlight w:val="none"/>
                <w:lang w:val="en-US" w:eastAsia="zh-CN"/>
              </w:rPr>
              <w:t>7台，</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 xml:space="preserve">10. </w:t>
            </w:r>
            <w:r>
              <w:rPr>
                <w:rFonts w:hint="eastAsia"/>
                <w:b/>
                <w:color w:val="000000" w:themeColor="text1"/>
                <w:sz w:val="20"/>
                <w:szCs w:val="20"/>
                <w:highlight w:val="none"/>
              </w:rPr>
              <w:t xml:space="preserve">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sz w:val="20"/>
                <w:szCs w:val="20"/>
                <w:highlight w:val="none"/>
              </w:rPr>
              <w:t>特种设备</w:t>
            </w:r>
            <w:r>
              <w:rPr>
                <w:rFonts w:hint="eastAsia"/>
                <w:b/>
                <w:sz w:val="20"/>
                <w:szCs w:val="20"/>
                <w:highlight w:val="none"/>
                <w:lang w:eastAsia="zh-CN"/>
              </w:rPr>
              <w:t>：行车，</w:t>
            </w:r>
            <w:r>
              <w:rPr>
                <w:rFonts w:hint="eastAsia"/>
                <w:b/>
                <w:sz w:val="20"/>
                <w:szCs w:val="20"/>
                <w:highlight w:val="none"/>
                <w:lang w:val="en-US" w:eastAsia="zh-CN"/>
              </w:rPr>
              <w:t xml:space="preserve">  </w:t>
            </w:r>
            <w:r>
              <w:rPr>
                <w:rFonts w:hint="eastAsia"/>
                <w:b/>
                <w:sz w:val="20"/>
                <w:szCs w:val="20"/>
                <w:highlight w:val="none"/>
                <w:lang w:eastAsia="zh-CN"/>
              </w:rPr>
              <w:t>提供</w:t>
            </w:r>
            <w:r>
              <w:rPr>
                <w:rFonts w:hint="eastAsia"/>
                <w:b/>
                <w:sz w:val="20"/>
                <w:szCs w:val="20"/>
                <w:highlight w:val="none"/>
                <w:lang w:val="en-US" w:eastAsia="zh-CN"/>
              </w:rPr>
              <w:t>行车的效期内年检报告。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6</w:t>
            </w:r>
            <w:r>
              <w:rPr>
                <w:rFonts w:hint="eastAsia" w:ascii="宋体" w:hAnsi="宋体" w:cs="宋体"/>
                <w:color w:val="000000"/>
                <w:szCs w:val="21"/>
              </w:rPr>
              <w:t>-</w:t>
            </w:r>
            <w:r>
              <w:rPr>
                <w:rFonts w:hint="eastAsia" w:ascii="宋体" w:hAnsi="宋体" w:cs="宋体"/>
                <w:color w:val="000000"/>
                <w:szCs w:val="21"/>
                <w:lang w:val="en-US" w:eastAsia="zh-CN"/>
              </w:rPr>
              <w:t>11</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w:t>
            </w:r>
            <w:r>
              <w:rPr>
                <w:rFonts w:hint="eastAsia" w:ascii="宋体" w:hAnsi="宋体" w:cs="宋体"/>
                <w:color w:val="000000"/>
                <w:szCs w:val="21"/>
                <w:highlight w:val="none"/>
              </w:rPr>
              <w:t>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 内审（包括内审策划审核方案中考虑拟审</w:t>
            </w:r>
            <w:r>
              <w:rPr>
                <w:rFonts w:hint="eastAsia"/>
                <w:b/>
                <w:color w:val="000000" w:themeColor="text1"/>
                <w:sz w:val="20"/>
                <w:szCs w:val="20"/>
                <w:highlight w:val="none"/>
              </w:rPr>
              <w:t>核的过程和区域的状况和重要性）</w:t>
            </w:r>
          </w:p>
          <w:p>
            <w:pPr>
              <w:spacing w:line="400" w:lineRule="exact"/>
              <w:rPr>
                <w:b/>
                <w:color w:val="FF0000"/>
                <w:sz w:val="20"/>
                <w:szCs w:val="20"/>
              </w:rPr>
            </w:pPr>
            <w:r>
              <w:rPr>
                <w:rFonts w:hint="eastAsia" w:ascii="宋体" w:hAnsi="宋体" w:cs="宋体"/>
                <w:szCs w:val="21"/>
                <w:highlight w:val="none"/>
              </w:rPr>
              <w:t>建立有《内部审核控制程序》，规定了内审频次一年一次，内审时间：</w:t>
            </w:r>
            <w:r>
              <w:rPr>
                <w:rFonts w:hint="eastAsia"/>
                <w:sz w:val="21"/>
                <w:szCs w:val="21"/>
                <w:highlight w:val="none"/>
              </w:rPr>
              <w:t>2019年</w:t>
            </w:r>
            <w:r>
              <w:rPr>
                <w:rFonts w:hint="eastAsia"/>
                <w:sz w:val="21"/>
                <w:szCs w:val="21"/>
                <w:highlight w:val="none"/>
                <w:lang w:val="en-US" w:eastAsia="zh-CN"/>
              </w:rPr>
              <w:t>9</w:t>
            </w:r>
            <w:r>
              <w:rPr>
                <w:rFonts w:hint="eastAsia"/>
                <w:sz w:val="21"/>
                <w:szCs w:val="21"/>
                <w:highlight w:val="none"/>
              </w:rPr>
              <w:t>月</w:t>
            </w:r>
            <w:r>
              <w:rPr>
                <w:rFonts w:hint="eastAsia"/>
                <w:sz w:val="21"/>
                <w:szCs w:val="21"/>
                <w:highlight w:val="none"/>
                <w:lang w:val="en-US" w:eastAsia="zh-CN"/>
              </w:rPr>
              <w:t>20</w:t>
            </w:r>
            <w:r>
              <w:rPr>
                <w:rFonts w:hint="eastAsia"/>
                <w:sz w:val="21"/>
                <w:szCs w:val="21"/>
                <w:highlight w:val="none"/>
              </w:rPr>
              <w:t>日</w:t>
            </w:r>
            <w:r>
              <w:rPr>
                <w:rFonts w:hint="eastAsia" w:ascii="宋体" w:hAnsi="宋体" w:cs="宋体"/>
                <w:szCs w:val="21"/>
                <w:highlight w:val="none"/>
              </w:rPr>
              <w:t>，拟定了审核实施表，明确了内审范围，内审人员经培训合格上岗，能力满足要求，未出现审核本部门情况，内审不符合项</w:t>
            </w:r>
            <w:r>
              <w:rPr>
                <w:rFonts w:hint="eastAsia" w:ascii="宋体" w:hAnsi="宋体" w:cs="宋体"/>
                <w:szCs w:val="21"/>
                <w:highlight w:val="none"/>
                <w:lang w:val="en-US" w:eastAsia="zh-CN"/>
              </w:rPr>
              <w:t>1</w:t>
            </w:r>
            <w:r>
              <w:rPr>
                <w:rFonts w:hint="eastAsia" w:ascii="宋体" w:hAnsi="宋体" w:cs="宋体"/>
                <w:szCs w:val="21"/>
                <w:highlight w:val="none"/>
              </w:rPr>
              <w:t>项，</w:t>
            </w:r>
            <w:r>
              <w:rPr>
                <w:rFonts w:hint="eastAsia"/>
                <w:sz w:val="21"/>
                <w:szCs w:val="21"/>
                <w:highlight w:val="none"/>
              </w:rPr>
              <w:t xml:space="preserve"> 涉及</w:t>
            </w:r>
            <w:r>
              <w:rPr>
                <w:rFonts w:hint="eastAsia"/>
                <w:sz w:val="21"/>
                <w:szCs w:val="21"/>
                <w:highlight w:val="none"/>
                <w:lang w:val="en-US" w:eastAsia="zh-CN"/>
              </w:rPr>
              <w:t>行政部不符合标准7.2</w:t>
            </w:r>
            <w:r>
              <w:rPr>
                <w:rFonts w:hint="eastAsia"/>
                <w:sz w:val="21"/>
                <w:szCs w:val="21"/>
                <w:highlight w:val="none"/>
              </w:rPr>
              <w:t>条款，针对该不符合项，已及时采取纠正措施后，经内审员验证关闭。</w:t>
            </w:r>
            <w:r>
              <w:rPr>
                <w:rFonts w:hint="eastAsia" w:ascii="宋体" w:hAnsi="宋体" w:cs="宋体"/>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2019年</w:t>
            </w:r>
            <w:r>
              <w:rPr>
                <w:rFonts w:hint="eastAsia" w:ascii="宋体" w:hAnsi="宋体"/>
                <w:kern w:val="0"/>
                <w:sz w:val="21"/>
                <w:szCs w:val="21"/>
                <w:highlight w:val="none"/>
                <w:lang w:val="en-US" w:eastAsia="zh-CN"/>
              </w:rPr>
              <w:t>10</w:t>
            </w:r>
            <w:r>
              <w:rPr>
                <w:rFonts w:hint="eastAsia" w:ascii="宋体" w:hAnsi="宋体"/>
                <w:kern w:val="0"/>
                <w:sz w:val="21"/>
                <w:szCs w:val="21"/>
                <w:highlight w:val="none"/>
              </w:rPr>
              <w:t>月1</w:t>
            </w:r>
            <w:r>
              <w:rPr>
                <w:rFonts w:hint="eastAsia" w:ascii="宋体" w:hAnsi="宋体"/>
                <w:kern w:val="0"/>
                <w:sz w:val="21"/>
                <w:szCs w:val="21"/>
                <w:highlight w:val="none"/>
                <w:lang w:val="en-US" w:eastAsia="zh-CN"/>
              </w:rPr>
              <w:t>5</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bookmarkStart w:id="21" w:name="_GoBack"/>
      <w:bookmarkEnd w:id="21"/>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5397" w:firstLineChars="25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2019年12月24日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A97910"/>
    <w:rsid w:val="048A5F61"/>
    <w:rsid w:val="06062FAB"/>
    <w:rsid w:val="0A630A2B"/>
    <w:rsid w:val="0AB16CC7"/>
    <w:rsid w:val="0ACF37F5"/>
    <w:rsid w:val="0B804EEA"/>
    <w:rsid w:val="0D440417"/>
    <w:rsid w:val="0F6C2D79"/>
    <w:rsid w:val="10071EF7"/>
    <w:rsid w:val="11093CF2"/>
    <w:rsid w:val="12E7167B"/>
    <w:rsid w:val="14C75076"/>
    <w:rsid w:val="17D76103"/>
    <w:rsid w:val="181F0145"/>
    <w:rsid w:val="1D2272C3"/>
    <w:rsid w:val="21F57081"/>
    <w:rsid w:val="22205548"/>
    <w:rsid w:val="22A55FD1"/>
    <w:rsid w:val="27006008"/>
    <w:rsid w:val="2CB03A9C"/>
    <w:rsid w:val="2DA150EB"/>
    <w:rsid w:val="39A948A7"/>
    <w:rsid w:val="3A5945BD"/>
    <w:rsid w:val="40D921B8"/>
    <w:rsid w:val="456D7EF9"/>
    <w:rsid w:val="45B45130"/>
    <w:rsid w:val="505A4070"/>
    <w:rsid w:val="50D9763C"/>
    <w:rsid w:val="52050C9D"/>
    <w:rsid w:val="535B5602"/>
    <w:rsid w:val="544E63A7"/>
    <w:rsid w:val="56B5505A"/>
    <w:rsid w:val="5F8F3CD3"/>
    <w:rsid w:val="5FA628B7"/>
    <w:rsid w:val="604E1744"/>
    <w:rsid w:val="63D468BD"/>
    <w:rsid w:val="69527418"/>
    <w:rsid w:val="6D7E0C0F"/>
    <w:rsid w:val="6D803566"/>
    <w:rsid w:val="6D910376"/>
    <w:rsid w:val="6F1A7281"/>
    <w:rsid w:val="6F4C3E84"/>
    <w:rsid w:val="707F7854"/>
    <w:rsid w:val="72F67C30"/>
    <w:rsid w:val="74143583"/>
    <w:rsid w:val="74A11C97"/>
    <w:rsid w:val="751848A9"/>
    <w:rsid w:val="756A7574"/>
    <w:rsid w:val="79643EB9"/>
    <w:rsid w:val="7A6236E3"/>
    <w:rsid w:val="7ABF1241"/>
    <w:rsid w:val="7B1B41EE"/>
    <w:rsid w:val="7B7768E5"/>
    <w:rsid w:val="7CB20607"/>
    <w:rsid w:val="7DA42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2019-12-23T05:14:10Z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