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0438-2022-QEO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谦谦骏智（重庆）智能科技有限公司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谦谦骏智（重庆）智能科技有限公司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重庆市永川区和顺大道799号(永川区软件与信息服务外包产业园B区4号楼3层)</w:t>
            </w:r>
            <w:bookmarkEnd w:id="6"/>
          </w:p>
        </w:tc>
        <w:tc>
          <w:tcPr>
            <w:tcW w:w="1242" w:type="dxa"/>
            <w:vMerge w:val="restart"/>
            <w:vAlign w:val="center"/>
          </w:tcPr>
          <w:p>
            <w:r>
              <w:rPr>
                <w:rFonts w:hint="eastAsia"/>
              </w:rPr>
              <w:t>邮编</w:t>
            </w:r>
          </w:p>
        </w:tc>
        <w:tc>
          <w:tcPr>
            <w:tcW w:w="1771" w:type="dxa"/>
          </w:tcPr>
          <w:p>
            <w:bookmarkStart w:id="7" w:name="注册邮编"/>
            <w:r>
              <w:t>402160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重庆市渝北区黄山大道中段64号（高科总部广场）13号楼3-1</w:t>
            </w:r>
            <w:bookmarkEnd w:id="8"/>
          </w:p>
        </w:tc>
        <w:tc>
          <w:tcPr>
            <w:tcW w:w="1242" w:type="dxa"/>
            <w:vMerge w:val="continue"/>
            <w:vAlign w:val="center"/>
          </w:tcPr>
          <w:p/>
        </w:tc>
        <w:tc>
          <w:tcPr>
            <w:tcW w:w="1771" w:type="dxa"/>
          </w:tcPr>
          <w:p>
            <w:bookmarkStart w:id="9" w:name="办公邮编"/>
            <w:r>
              <w:t>401120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游昕</w:t>
            </w:r>
            <w:bookmarkEnd w:id="10"/>
          </w:p>
        </w:tc>
        <w:tc>
          <w:tcPr>
            <w:tcW w:w="1313" w:type="dxa"/>
            <w:vAlign w:val="center"/>
          </w:tcPr>
          <w:p>
            <w:r>
              <w:rPr>
                <w:rFonts w:hint="eastAsia"/>
              </w:rPr>
              <w:t>电话.</w:t>
            </w:r>
          </w:p>
        </w:tc>
        <w:tc>
          <w:tcPr>
            <w:tcW w:w="2180" w:type="dxa"/>
            <w:vAlign w:val="center"/>
          </w:tcPr>
          <w:p>
            <w:bookmarkStart w:id="11" w:name="联系人电话"/>
            <w:r>
              <w:t>15223177290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杜谦</w:t>
            </w:r>
            <w:bookmarkEnd w:id="13"/>
          </w:p>
        </w:tc>
        <w:tc>
          <w:tcPr>
            <w:tcW w:w="1313" w:type="dxa"/>
            <w:vAlign w:val="center"/>
          </w:tcPr>
          <w:p>
            <w:r>
              <w:rPr>
                <w:rFonts w:hint="eastAsia"/>
              </w:rPr>
              <w:t>管理者代表</w:t>
            </w:r>
          </w:p>
        </w:tc>
        <w:tc>
          <w:tcPr>
            <w:tcW w:w="2180" w:type="dxa"/>
          </w:tcPr>
          <w:p>
            <w:bookmarkStart w:id="14" w:name="管理者代表"/>
            <w:r>
              <w:t>杜谦</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highlight w:val="none"/>
              </w:rPr>
              <w:t>多班次说明</w:t>
            </w:r>
          </w:p>
        </w:tc>
        <w:tc>
          <w:tcPr>
            <w:tcW w:w="8058" w:type="dxa"/>
            <w:gridSpan w:val="5"/>
            <w:shd w:val="clear" w:color="auto" w:fill="auto"/>
            <w:vAlign w:val="top"/>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应用软件开发流程：</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需求分析→设计开发→编码→测试→发布上线→验收→交付</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系统集成及运维服务流程：</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项目立项→确定方案→合同签订→采购→安装调试→项目验收→交付→</w:t>
            </w:r>
            <w:r>
              <w:rPr>
                <w:rFonts w:hint="eastAsia"/>
                <w:lang w:eastAsia="zh-CN"/>
              </w:rPr>
              <w:t>运维</w:t>
            </w:r>
            <w:r>
              <w:rPr>
                <w:rFonts w:hint="eastAsia"/>
              </w:rPr>
              <w:t>服务</w:t>
            </w:r>
          </w:p>
          <w:p>
            <w:pPr>
              <w:spacing w:line="360" w:lineRule="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销售服务流程：</w:t>
            </w:r>
          </w:p>
          <w:p>
            <w:r>
              <w:rPr>
                <w:rFonts w:hint="eastAsia" w:ascii="Times New Roman" w:hAnsi="Times New Roman" w:eastAsia="宋体" w:cs="Times New Roman"/>
                <w:color w:val="auto"/>
                <w:szCs w:val="21"/>
              </w:rPr>
              <w:t>流程：商务洽谈→签订合同→采购产品→产品交付→售后服务；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309"/>
        <w:gridCol w:w="896"/>
        <w:gridCol w:w="2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4"/>
            <w:tcMar>
              <w:left w:w="113" w:type="dxa"/>
            </w:tcMar>
          </w:tcPr>
          <w:p>
            <w:bookmarkStart w:id="15" w:name="审核日期"/>
            <w:r>
              <w:rPr>
                <w:rFonts w:hint="eastAsia"/>
              </w:rPr>
              <w:t>2022年05月23日 上午至2022年05月24日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4"/>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4"/>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4"/>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4"/>
            <w:tcMar>
              <w:left w:w="113" w:type="dxa"/>
            </w:tcMar>
            <w:vAlign w:val="top"/>
          </w:tcPr>
          <w:p>
            <w:pPr>
              <w:rPr>
                <w:rFonts w:ascii="Times New Roman" w:hAnsi="Times New Roman" w:eastAsia="宋体" w:cs="Times New Roman"/>
                <w:kern w:val="2"/>
                <w:sz w:val="21"/>
                <w:szCs w:val="24"/>
                <w:lang w:val="en-US" w:eastAsia="zh-CN" w:bidi="ar-SA"/>
              </w:rPr>
            </w:pPr>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tcPr>
          <w:p>
            <w:pPr>
              <w:rPr>
                <w:rFonts w:ascii="宋体"/>
                <w:b/>
                <w:color w:val="0000FF"/>
                <w:szCs w:val="21"/>
              </w:rPr>
            </w:pPr>
            <w:r>
              <w:rPr>
                <w:rFonts w:asciiTheme="minorEastAsia" w:hAnsiTheme="minorEastAsia" w:eastAsiaTheme="minorEastAsia"/>
                <w:sz w:val="20"/>
              </w:rPr>
              <w:t>重庆市渝北区黄山大道中段64号（高科总部广场）13号楼3-1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051" w:type="dxa"/>
            <w:gridSpan w:val="3"/>
            <w:vMerge w:val="restart"/>
            <w:vAlign w:val="center"/>
          </w:tcPr>
          <w:p>
            <w:bookmarkStart w:id="20" w:name="审核范围"/>
            <w:r>
              <w:t>Q：应用软件开发、系统集成及运维服务；计算机软硬件销售</w:t>
            </w:r>
          </w:p>
          <w:p>
            <w:r>
              <w:t>E：应用软件开发、系统集成及运维服务；计算机软硬件销售所涉及的相关环境管理活动</w:t>
            </w:r>
          </w:p>
          <w:p>
            <w:r>
              <w:t>O：应用软件开发、系统集成及运维服务；计算机软硬件销售所涉及的相关职业健康安全管理活动</w:t>
            </w:r>
            <w:bookmarkEnd w:id="20"/>
          </w:p>
        </w:tc>
        <w:tc>
          <w:tcPr>
            <w:tcW w:w="3789"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051" w:type="dxa"/>
            <w:gridSpan w:val="3"/>
            <w:vMerge w:val="continue"/>
            <w:vAlign w:val="center"/>
          </w:tcPr>
          <w:p/>
        </w:tc>
        <w:tc>
          <w:tcPr>
            <w:tcW w:w="3789" w:type="dxa"/>
            <w:gridSpan w:val="2"/>
            <w:vAlign w:val="center"/>
          </w:tcPr>
          <w:p>
            <w:bookmarkStart w:id="21" w:name="专业代码"/>
            <w:r>
              <w:t>Q：29.09.01;33.02.01;33.02.02;33.02.04</w:t>
            </w:r>
          </w:p>
          <w:p>
            <w:r>
              <w:t>E：29.09.01;33.02.01;33.02.02;33.02.04</w:t>
            </w:r>
          </w:p>
          <w:p>
            <w:r>
              <w:t>O：29.09.01;33.02.01;33.02.02;33.02.04</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4"/>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auto"/>
                <w:szCs w:val="18"/>
                <w:u w:val="single"/>
                <w:lang w:eastAsia="zh-CN"/>
              </w:rPr>
              <w:t>2021年12月1日</w:t>
            </w:r>
          </w:p>
        </w:tc>
        <w:tc>
          <w:tcPr>
            <w:tcW w:w="2205" w:type="dxa"/>
            <w:gridSpan w:val="2"/>
            <w:vAlign w:val="center"/>
          </w:tcPr>
          <w:p>
            <w:r>
              <w:rPr>
                <w:rFonts w:hint="eastAsia"/>
              </w:rPr>
              <w:t>管理体系运行已超过3个月</w:t>
            </w:r>
          </w:p>
        </w:tc>
        <w:tc>
          <w:tcPr>
            <w:tcW w:w="2893"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2205" w:type="dxa"/>
            <w:gridSpan w:val="2"/>
            <w:vAlign w:val="center"/>
          </w:tcPr>
          <w:p>
            <w:r>
              <w:rPr>
                <w:rFonts w:hint="eastAsia"/>
              </w:rPr>
              <w:t>认证证书有效期</w:t>
            </w:r>
          </w:p>
          <w:p>
            <w:r>
              <w:rPr>
                <w:rFonts w:hint="eastAsia"/>
              </w:rPr>
              <w:t>（初审除外）</w:t>
            </w:r>
          </w:p>
        </w:tc>
        <w:tc>
          <w:tcPr>
            <w:tcW w:w="2893"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16"/>
        <w:gridCol w:w="2250"/>
        <w:gridCol w:w="439"/>
        <w:gridCol w:w="1731"/>
        <w:gridCol w:w="17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416" w:type="dxa"/>
            <w:shd w:val="clear" w:color="auto" w:fill="F3F3F3"/>
            <w:tcMar>
              <w:left w:w="57" w:type="dxa"/>
              <w:right w:w="57" w:type="dxa"/>
            </w:tcMar>
          </w:tcPr>
          <w:p>
            <w:r>
              <w:rPr>
                <w:rFonts w:hint="eastAsia"/>
              </w:rPr>
              <w:t>组织名称及注册场所地址</w:t>
            </w:r>
          </w:p>
        </w:tc>
        <w:tc>
          <w:tcPr>
            <w:tcW w:w="2250" w:type="dxa"/>
            <w:shd w:val="clear" w:color="auto" w:fill="F3F3F3"/>
            <w:tcMar>
              <w:left w:w="57" w:type="dxa"/>
              <w:right w:w="57" w:type="dxa"/>
            </w:tcMar>
          </w:tcPr>
          <w:p>
            <w:r>
              <w:rPr>
                <w:rFonts w:hint="eastAsia"/>
              </w:rPr>
              <w:t>经营场所的地址</w:t>
            </w:r>
          </w:p>
          <w:p>
            <w:r>
              <w:rPr>
                <w:rFonts w:hint="eastAsia"/>
              </w:rPr>
              <w:t>（多现场和临时现场）</w:t>
            </w:r>
          </w:p>
        </w:tc>
        <w:tc>
          <w:tcPr>
            <w:tcW w:w="439" w:type="dxa"/>
            <w:shd w:val="clear" w:color="auto" w:fill="F3F3F3"/>
            <w:tcMar>
              <w:left w:w="57" w:type="dxa"/>
              <w:right w:w="57" w:type="dxa"/>
            </w:tcMar>
          </w:tcPr>
          <w:p>
            <w:r>
              <w:rPr>
                <w:rFonts w:hint="eastAsia"/>
              </w:rPr>
              <w:t>员工人数</w:t>
            </w:r>
          </w:p>
        </w:tc>
        <w:tc>
          <w:tcPr>
            <w:tcW w:w="1731" w:type="dxa"/>
            <w:shd w:val="clear" w:color="auto" w:fill="F3F3F3"/>
            <w:tcMar>
              <w:left w:w="57" w:type="dxa"/>
              <w:right w:w="57" w:type="dxa"/>
            </w:tcMar>
          </w:tcPr>
          <w:p>
            <w:r>
              <w:rPr>
                <w:rFonts w:hint="eastAsia"/>
              </w:rPr>
              <w:t>审核范围（产品和过程）</w:t>
            </w:r>
          </w:p>
          <w:p/>
          <w:p/>
        </w:tc>
        <w:tc>
          <w:tcPr>
            <w:tcW w:w="17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16" w:type="dxa"/>
            <w:vAlign w:val="top"/>
          </w:tcPr>
          <w:p>
            <w:pPr>
              <w:spacing w:before="40" w:after="40"/>
              <w:rPr>
                <w:lang w:val="de-DE" w:eastAsia="ja-JP"/>
              </w:rPr>
            </w:pPr>
            <w:r>
              <w:rPr>
                <w:sz w:val="21"/>
                <w:szCs w:val="21"/>
              </w:rPr>
              <w:t>谦谦骏智（重庆）智能科技有限公司</w:t>
            </w:r>
            <w:r>
              <w:rPr>
                <w:rFonts w:hint="eastAsia"/>
                <w:sz w:val="21"/>
                <w:szCs w:val="21"/>
                <w:lang w:val="en-US" w:eastAsia="zh-CN"/>
              </w:rPr>
              <w:t>/</w:t>
            </w:r>
            <w:r>
              <w:rPr>
                <w:rFonts w:asciiTheme="minorEastAsia" w:hAnsiTheme="minorEastAsia" w:eastAsiaTheme="minorEastAsia"/>
                <w:sz w:val="20"/>
              </w:rPr>
              <w:t>重庆市永川区和顺大道799号(永川区软件与信息服务外包产业园B区4号楼3层)</w:t>
            </w:r>
          </w:p>
        </w:tc>
        <w:tc>
          <w:tcPr>
            <w:tcW w:w="2250" w:type="dxa"/>
            <w:vAlign w:val="top"/>
          </w:tcPr>
          <w:p>
            <w:pPr>
              <w:spacing w:before="40" w:after="40"/>
              <w:rPr>
                <w:lang w:val="de-DE" w:eastAsia="ja-JP"/>
              </w:rPr>
            </w:pPr>
            <w:r>
              <w:rPr>
                <w:rFonts w:asciiTheme="minorEastAsia" w:hAnsiTheme="minorEastAsia" w:eastAsiaTheme="minorEastAsia"/>
                <w:sz w:val="20"/>
              </w:rPr>
              <w:t>重庆市渝北区黄山大道中段64号（高科总部广场）1</w:t>
            </w:r>
            <w:r>
              <w:rPr>
                <w:rFonts w:cs="Times New Roman" w:asciiTheme="minorEastAsia" w:hAnsiTheme="minorEastAsia" w:eastAsiaTheme="minorEastAsia"/>
                <w:sz w:val="20"/>
              </w:rPr>
              <w:t>3号楼3-1</w:t>
            </w:r>
            <w:r>
              <w:rPr>
                <w:rFonts w:hint="eastAsia" w:cs="Times New Roman" w:asciiTheme="minorEastAsia" w:hAnsiTheme="minorEastAsia" w:eastAsiaTheme="minorEastAsia"/>
                <w:sz w:val="20"/>
                <w:lang w:val="en-US" w:eastAsia="zh-CN"/>
              </w:rPr>
              <w:t>(临时场所：</w:t>
            </w:r>
            <w:r>
              <w:rPr>
                <w:rFonts w:cs="Times New Roman" w:asciiTheme="minorEastAsia" w:hAnsiTheme="minorEastAsia" w:eastAsiaTheme="minorEastAsia"/>
                <w:sz w:val="20"/>
              </w:rPr>
              <w:t>重庆市长寿区桃园大道11号</w:t>
            </w:r>
            <w:r>
              <w:rPr>
                <w:rFonts w:hint="eastAsia" w:cs="Times New Roman" w:asciiTheme="minorEastAsia" w:hAnsiTheme="minorEastAsia" w:eastAsiaTheme="minorEastAsia"/>
                <w:sz w:val="20"/>
                <w:lang w:val="en-US" w:eastAsia="zh-CN"/>
              </w:rPr>
              <w:t>)</w:t>
            </w:r>
          </w:p>
        </w:tc>
        <w:tc>
          <w:tcPr>
            <w:tcW w:w="439" w:type="dxa"/>
            <w:vAlign w:val="center"/>
          </w:tcPr>
          <w:p>
            <w:pPr>
              <w:spacing w:before="40" w:after="40"/>
              <w:rPr>
                <w:lang w:eastAsia="ja-JP"/>
              </w:rPr>
            </w:pPr>
            <w:r>
              <w:rPr>
                <w:rFonts w:hint="eastAsia" w:eastAsia="黑体"/>
                <w:szCs w:val="21"/>
                <w:lang w:val="en-US" w:eastAsia="zh-CN"/>
              </w:rPr>
              <w:t>15</w:t>
            </w:r>
          </w:p>
        </w:tc>
        <w:tc>
          <w:tcPr>
            <w:tcW w:w="1731"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应用软件开发、系统集成及运维服务；计算机软硬件销售</w:t>
            </w:r>
          </w:p>
          <w:p>
            <w:pPr>
              <w:pStyle w:val="21"/>
              <w:rPr>
                <w:lang w:eastAsia="ja-JP"/>
              </w:rPr>
            </w:pPr>
          </w:p>
        </w:tc>
        <w:tc>
          <w:tcPr>
            <w:tcW w:w="1741"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rPr>
                <w:lang w:eastAsia="ja-JP"/>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416" w:type="dxa"/>
            <w:vAlign w:val="center"/>
          </w:tcPr>
          <w:p>
            <w:pPr>
              <w:rPr>
                <w:lang w:eastAsia="ja-JP"/>
              </w:rPr>
            </w:pPr>
          </w:p>
        </w:tc>
        <w:tc>
          <w:tcPr>
            <w:tcW w:w="2250" w:type="dxa"/>
            <w:vAlign w:val="center"/>
          </w:tcPr>
          <w:p>
            <w:pPr>
              <w:rPr>
                <w:lang w:eastAsia="ja-JP"/>
              </w:rPr>
            </w:pPr>
          </w:p>
        </w:tc>
        <w:tc>
          <w:tcPr>
            <w:tcW w:w="439" w:type="dxa"/>
            <w:vAlign w:val="center"/>
          </w:tcPr>
          <w:p>
            <w:pPr>
              <w:rPr>
                <w:lang w:eastAsia="ja-JP"/>
              </w:rPr>
            </w:pPr>
          </w:p>
        </w:tc>
        <w:tc>
          <w:tcPr>
            <w:tcW w:w="1731" w:type="dxa"/>
            <w:vAlign w:val="center"/>
          </w:tcPr>
          <w:p>
            <w:pPr>
              <w:rPr>
                <w:lang w:eastAsia="ja-JP"/>
              </w:rPr>
            </w:pPr>
          </w:p>
        </w:tc>
        <w:tc>
          <w:tcPr>
            <w:tcW w:w="17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416" w:type="dxa"/>
            <w:vAlign w:val="center"/>
          </w:tcPr>
          <w:p>
            <w:pPr>
              <w:rPr>
                <w:lang w:eastAsia="ja-JP"/>
              </w:rPr>
            </w:pPr>
          </w:p>
        </w:tc>
        <w:tc>
          <w:tcPr>
            <w:tcW w:w="2250" w:type="dxa"/>
            <w:vAlign w:val="center"/>
          </w:tcPr>
          <w:p>
            <w:pPr>
              <w:rPr>
                <w:lang w:eastAsia="ja-JP"/>
              </w:rPr>
            </w:pPr>
          </w:p>
        </w:tc>
        <w:tc>
          <w:tcPr>
            <w:tcW w:w="439" w:type="dxa"/>
            <w:vAlign w:val="center"/>
          </w:tcPr>
          <w:p>
            <w:pPr>
              <w:rPr>
                <w:lang w:eastAsia="ja-JP"/>
              </w:rPr>
            </w:pPr>
          </w:p>
        </w:tc>
        <w:tc>
          <w:tcPr>
            <w:tcW w:w="1731" w:type="dxa"/>
            <w:vAlign w:val="center"/>
          </w:tcPr>
          <w:p>
            <w:pPr>
              <w:rPr>
                <w:lang w:eastAsia="ja-JP"/>
              </w:rPr>
            </w:pPr>
          </w:p>
        </w:tc>
        <w:tc>
          <w:tcPr>
            <w:tcW w:w="17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416" w:type="dxa"/>
            <w:vAlign w:val="center"/>
          </w:tcPr>
          <w:p>
            <w:pPr>
              <w:rPr>
                <w:lang w:eastAsia="ja-JP"/>
              </w:rPr>
            </w:pPr>
          </w:p>
        </w:tc>
        <w:tc>
          <w:tcPr>
            <w:tcW w:w="2250" w:type="dxa"/>
            <w:vAlign w:val="center"/>
          </w:tcPr>
          <w:p>
            <w:pPr>
              <w:rPr>
                <w:lang w:eastAsia="ja-JP"/>
              </w:rPr>
            </w:pPr>
          </w:p>
        </w:tc>
        <w:tc>
          <w:tcPr>
            <w:tcW w:w="439" w:type="dxa"/>
            <w:vAlign w:val="center"/>
          </w:tcPr>
          <w:p>
            <w:pPr>
              <w:rPr>
                <w:lang w:eastAsia="ja-JP"/>
              </w:rPr>
            </w:pPr>
          </w:p>
        </w:tc>
        <w:tc>
          <w:tcPr>
            <w:tcW w:w="1731" w:type="dxa"/>
            <w:vAlign w:val="center"/>
          </w:tcPr>
          <w:p>
            <w:pPr>
              <w:rPr>
                <w:lang w:eastAsia="ja-JP"/>
              </w:rPr>
            </w:pPr>
          </w:p>
        </w:tc>
        <w:tc>
          <w:tcPr>
            <w:tcW w:w="17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416" w:type="dxa"/>
            <w:vAlign w:val="center"/>
          </w:tcPr>
          <w:p>
            <w:pPr>
              <w:rPr>
                <w:lang w:eastAsia="ja-JP"/>
              </w:rPr>
            </w:pPr>
          </w:p>
        </w:tc>
        <w:tc>
          <w:tcPr>
            <w:tcW w:w="2250" w:type="dxa"/>
            <w:vAlign w:val="center"/>
          </w:tcPr>
          <w:p>
            <w:pPr>
              <w:rPr>
                <w:lang w:eastAsia="ja-JP"/>
              </w:rPr>
            </w:pPr>
          </w:p>
        </w:tc>
        <w:tc>
          <w:tcPr>
            <w:tcW w:w="439" w:type="dxa"/>
            <w:vAlign w:val="center"/>
          </w:tcPr>
          <w:p>
            <w:pPr>
              <w:rPr>
                <w:lang w:eastAsia="ja-JP"/>
              </w:rPr>
            </w:pPr>
          </w:p>
        </w:tc>
        <w:tc>
          <w:tcPr>
            <w:tcW w:w="1731" w:type="dxa"/>
            <w:vAlign w:val="center"/>
          </w:tcPr>
          <w:p>
            <w:pPr>
              <w:rPr>
                <w:lang w:eastAsia="ja-JP"/>
              </w:rPr>
            </w:pPr>
          </w:p>
        </w:tc>
        <w:tc>
          <w:tcPr>
            <w:tcW w:w="1741" w:type="dxa"/>
            <w:vAlign w:val="center"/>
          </w:tcPr>
          <w:p>
            <w:pPr>
              <w:rPr>
                <w:lang w:eastAsia="ja-JP"/>
              </w:rPr>
            </w:pPr>
          </w:p>
        </w:tc>
        <w:tc>
          <w:tcPr>
            <w:tcW w:w="668"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971"/>
        <w:gridCol w:w="361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971" w:type="dxa"/>
            <w:vAlign w:val="center"/>
          </w:tcPr>
          <w:p>
            <w:r>
              <w:rPr>
                <w:rFonts w:hint="eastAsia"/>
              </w:rPr>
              <w:t>性别</w:t>
            </w:r>
          </w:p>
        </w:tc>
        <w:tc>
          <w:tcPr>
            <w:tcW w:w="361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971" w:type="dxa"/>
            <w:vAlign w:val="center"/>
          </w:tcPr>
          <w:p>
            <w:r>
              <w:t>女</w:t>
            </w:r>
          </w:p>
        </w:tc>
        <w:tc>
          <w:tcPr>
            <w:tcW w:w="3610" w:type="dxa"/>
            <w:vAlign w:val="center"/>
          </w:tcPr>
          <w:p>
            <w:r>
              <w:t>2020-N1QMS-1267598</w:t>
            </w:r>
          </w:p>
          <w:p>
            <w:r>
              <w:t>2020-N1EMS-1267598</w:t>
            </w:r>
          </w:p>
          <w:p>
            <w:r>
              <w:t>2021-N1OHSMS-1267598</w:t>
            </w:r>
          </w:p>
        </w:tc>
        <w:tc>
          <w:tcPr>
            <w:tcW w:w="2179" w:type="dxa"/>
            <w:vAlign w:val="center"/>
          </w:tcPr>
          <w:p>
            <w:r>
              <w:t>Q:29.09.01,33.02.01,33.02.02,33.02.04</w:t>
            </w:r>
          </w:p>
          <w:p>
            <w:r>
              <w:t>E:29.09.01,33.02.01,33.02.02,33.02.04</w:t>
            </w:r>
          </w:p>
          <w:p>
            <w:r>
              <w:t>O:29.09.01,33.02.01,33.02.02,33.02.04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971" w:type="dxa"/>
            <w:vAlign w:val="center"/>
          </w:tcPr>
          <w:p>
            <w:r>
              <w:t>男</w:t>
            </w:r>
          </w:p>
        </w:tc>
        <w:tc>
          <w:tcPr>
            <w:tcW w:w="3610" w:type="dxa"/>
            <w:vAlign w:val="center"/>
          </w:tcPr>
          <w:p>
            <w:r>
              <w:t>2021-N1QMS-2230067</w:t>
            </w:r>
          </w:p>
          <w:p>
            <w:r>
              <w:t>2021-N1EMS-2230067</w:t>
            </w:r>
          </w:p>
          <w:p>
            <w:r>
              <w:t>2021-N1OHSMS-2230067</w:t>
            </w:r>
          </w:p>
        </w:tc>
        <w:tc>
          <w:tcPr>
            <w:tcW w:w="2179" w:type="dxa"/>
            <w:vAlign w:val="center"/>
          </w:tcPr>
          <w:p>
            <w:r>
              <w:t>Q:29.09.01,33.02.01,33.02.02,33.02.04</w:t>
            </w:r>
          </w:p>
          <w:p>
            <w:r>
              <w:t>E:29.09.01,33.02.01,33.02.02,33.02.04</w:t>
            </w:r>
          </w:p>
          <w:p>
            <w:r>
              <w:t>O:29.09.01,33.02.01,33.02.02,33.02.04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971" w:type="dxa"/>
            <w:vAlign w:val="center"/>
          </w:tcPr>
          <w:p>
            <w:r>
              <w:t>女</w:t>
            </w:r>
          </w:p>
        </w:tc>
        <w:tc>
          <w:tcPr>
            <w:tcW w:w="3610" w:type="dxa"/>
            <w:vAlign w:val="center"/>
          </w:tcPr>
          <w:p>
            <w:r>
              <w:t>2021-N1QMS-3207381</w:t>
            </w:r>
          </w:p>
        </w:tc>
        <w:tc>
          <w:tcPr>
            <w:tcW w:w="2179" w:type="dxa"/>
            <w:vAlign w:val="center"/>
          </w:tcPr>
          <w:p>
            <w:r>
              <w:t>Q:29.09.01,33.02.01,33.02.02,33.02.04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971" w:type="dxa"/>
            <w:vAlign w:val="center"/>
          </w:tcPr>
          <w:p/>
        </w:tc>
        <w:tc>
          <w:tcPr>
            <w:tcW w:w="361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971" w:type="dxa"/>
            <w:vAlign w:val="center"/>
          </w:tcPr>
          <w:p/>
        </w:tc>
        <w:tc>
          <w:tcPr>
            <w:tcW w:w="361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971" w:type="dxa"/>
            <w:vAlign w:val="center"/>
          </w:tcPr>
          <w:p>
            <w:r>
              <w:rPr>
                <w:rFonts w:hint="eastAsia"/>
              </w:rPr>
              <w:t>性别</w:t>
            </w:r>
          </w:p>
        </w:tc>
        <w:tc>
          <w:tcPr>
            <w:tcW w:w="361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971" w:type="dxa"/>
            <w:vAlign w:val="center"/>
          </w:tcPr>
          <w:p/>
        </w:tc>
        <w:tc>
          <w:tcPr>
            <w:tcW w:w="361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971" w:type="dxa"/>
            <w:vAlign w:val="center"/>
          </w:tcPr>
          <w:p/>
        </w:tc>
        <w:tc>
          <w:tcPr>
            <w:tcW w:w="361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宋体" w:hAnsi="宋体"/>
                <w:color w:val="000000" w:themeColor="text1"/>
                <w:szCs w:val="21"/>
              </w:rPr>
              <w:t>一阶段审核问题为：检具</w:t>
            </w:r>
            <w:r>
              <w:rPr>
                <w:rFonts w:hint="eastAsia" w:ascii="宋体" w:hAnsi="宋体" w:eastAsia="宋体" w:cs="Times New Roman"/>
                <w:color w:val="000000" w:themeColor="text1"/>
                <w:szCs w:val="21"/>
              </w:rPr>
              <w:t>测线仪、巡线仪、万用表未能</w:t>
            </w:r>
            <w:r>
              <w:rPr>
                <w:rFonts w:hint="eastAsia" w:ascii="宋体" w:hAnsi="宋体"/>
                <w:color w:val="000000" w:themeColor="text1"/>
                <w:szCs w:val="21"/>
              </w:rPr>
              <w:t>提供有效的校准证书，</w:t>
            </w:r>
            <w:r>
              <w:rPr>
                <w:rFonts w:hint="eastAsia" w:ascii="宋体" w:hAnsi="宋体"/>
                <w:color w:val="000000" w:themeColor="text1"/>
                <w:szCs w:val="21"/>
                <w:lang w:val="en-US" w:eastAsia="zh-CN"/>
              </w:rPr>
              <w:t>二阶段</w:t>
            </w:r>
            <w:r>
              <w:rPr>
                <w:rFonts w:hint="eastAsia" w:ascii="宋体" w:hAnsi="宋体"/>
                <w:color w:val="000000" w:themeColor="text1"/>
                <w:szCs w:val="21"/>
              </w:rPr>
              <w:t>已经开</w:t>
            </w:r>
            <w:r>
              <w:rPr>
                <w:rFonts w:hint="eastAsia" w:ascii="宋体" w:hAnsi="宋体"/>
                <w:color w:val="000000" w:themeColor="text1"/>
                <w:szCs w:val="21"/>
                <w:lang w:val="en-US" w:eastAsia="zh-CN"/>
              </w:rPr>
              <w:t>具</w:t>
            </w:r>
            <w:r>
              <w:rPr>
                <w:rFonts w:hint="eastAsia" w:ascii="宋体" w:hAnsi="宋体"/>
                <w:color w:val="000000" w:themeColor="text1"/>
                <w:szCs w:val="21"/>
              </w:rPr>
              <w:t>不符合</w:t>
            </w:r>
            <w:r>
              <w:rPr>
                <w:rFonts w:hint="eastAsia" w:ascii="宋体" w:hAnsi="宋体"/>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r>
              <w:rPr>
                <w:sz w:val="20"/>
              </w:rPr>
              <w:t>应用软件开发、系统集成及运维服务；计算机软硬件销售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r>
              <w:rPr>
                <w:sz w:val="20"/>
              </w:rPr>
              <w:t>应用软件开发、系统集成及运维服务；计算机软硬件销售所涉及的相关环境管理活动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pPr>
            <w:r>
              <w:rPr>
                <w:sz w:val="20"/>
              </w:rPr>
              <w:t>应用软件开发、系统集成及运维服务；计算机软硬件销售所涉及的相关职业健康安全管理活动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302260</wp:posOffset>
                  </wp:positionH>
                  <wp:positionV relativeFrom="paragraph">
                    <wp:posOffset>73660</wp:posOffset>
                  </wp:positionV>
                  <wp:extent cx="636905" cy="321310"/>
                  <wp:effectExtent l="0" t="0" r="10795" b="8890"/>
                  <wp:wrapNone/>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6"/>
                          <a:stretch>
                            <a:fillRect/>
                          </a:stretch>
                        </pic:blipFill>
                        <pic:spPr>
                          <a:xfrm>
                            <a:off x="0" y="0"/>
                            <a:ext cx="636905" cy="3213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t>2022年0</w:t>
            </w:r>
            <w:r>
              <w:rPr>
                <w:rFonts w:hint="eastAsia"/>
                <w:lang w:val="en-US" w:eastAsia="zh-CN"/>
              </w:rPr>
              <w:t>5</w:t>
            </w:r>
            <w:r>
              <w:t>月</w:t>
            </w:r>
            <w:r>
              <w:rPr>
                <w:rFonts w:hint="eastAsia"/>
                <w:lang w:val="en-US" w:eastAsia="zh-CN"/>
              </w:rPr>
              <w:t>24</w:t>
            </w:r>
            <w: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ascii="宋体" w:hAnsi="宋体" w:eastAsia="宋体" w:cs="宋体"/>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 xml:space="preserve">诚信守法，质量为本，服务创优；节约资源，预防污染，保护环境；预防为主，安全第一，持续改进 </w:t>
            </w:r>
            <w:r>
              <w:rPr>
                <w:rFonts w:hint="eastAsia" w:ascii="Times New Roman" w:hAnsi="Times New Roman" w:eastAsia="宋体" w:cs="Times New Roman"/>
                <w:color w:val="000000"/>
                <w:szCs w:val="18"/>
                <w:u w:val="single"/>
                <w:lang w:eastAsia="zh-CN"/>
              </w:rPr>
              <w:t xml:space="preserve"> </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 xml:space="preserve">行政部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3013"/>
              <w:gridCol w:w="1303"/>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hint="eastAsia"/>
                      <w:highlight w:val="none"/>
                    </w:rPr>
                  </w:pPr>
                  <w:r>
                    <w:rPr>
                      <w:rFonts w:hint="eastAsia"/>
                      <w:highlight w:val="none"/>
                    </w:rPr>
                    <w:t>目标实际完成</w:t>
                  </w:r>
                </w:p>
                <w:p>
                  <w:pPr>
                    <w:pStyle w:val="3"/>
                    <w:rPr>
                      <w:rFonts w:hint="eastAsia" w:eastAsia="宋体"/>
                      <w:highlight w:val="none"/>
                      <w:lang w:eastAsia="zh-CN"/>
                    </w:rPr>
                  </w:pPr>
                  <w:r>
                    <w:rPr>
                      <w:rFonts w:hint="eastAsia" w:ascii="宋体" w:hAnsi="宋体"/>
                      <w:highlight w:val="none"/>
                      <w:lang w:eastAsia="zh-CN"/>
                    </w:rPr>
                    <w:t>（</w:t>
                  </w:r>
                  <w:r>
                    <w:rPr>
                      <w:rFonts w:hint="eastAsia" w:ascii="宋体" w:hAnsi="宋体"/>
                      <w:highlight w:val="none"/>
                      <w:lang w:val="en-US" w:eastAsia="zh-CN"/>
                    </w:rPr>
                    <w:t>2021.10-2022.2</w:t>
                  </w:r>
                  <w:r>
                    <w:rPr>
                      <w:rFonts w:hint="eastAsia" w:ascii="宋体" w:hAnsi="宋体"/>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eastAsia="zh-CN"/>
                    </w:rPr>
                    <w:t>软件一次研发</w:t>
                  </w:r>
                  <w:r>
                    <w:rPr>
                      <w:rFonts w:hint="eastAsia" w:ascii="宋体" w:hAnsi="宋体" w:eastAsia="宋体" w:cs="Times New Roman"/>
                    </w:rPr>
                    <w:t>合格率</w:t>
                  </w:r>
                </w:p>
              </w:tc>
              <w:tc>
                <w:tcPr>
                  <w:tcW w:w="3136" w:type="dxa"/>
                  <w:shd w:val="clear" w:color="auto" w:fill="auto"/>
                  <w:vAlign w:val="center"/>
                </w:tcPr>
                <w:p>
                  <w:pPr>
                    <w:shd w:val="clear" w:color="auto" w:fill="C7DAF1" w:themeFill="text2" w:themeFillTint="32"/>
                    <w:rPr>
                      <w:rFonts w:hint="default" w:ascii="宋体" w:hAnsi="宋体" w:eastAsia="宋体" w:cs="Times New Roman"/>
                      <w:lang w:val="en-GB" w:eastAsia="zh-CN"/>
                    </w:rPr>
                  </w:pPr>
                  <w:r>
                    <w:rPr>
                      <w:rFonts w:hint="eastAsia" w:ascii="宋体" w:hAnsi="宋体" w:eastAsia="宋体" w:cs="Times New Roman"/>
                    </w:rPr>
                    <w:t>(按合同要求完成</w:t>
                  </w:r>
                  <w:r>
                    <w:rPr>
                      <w:rFonts w:hint="eastAsia" w:ascii="宋体" w:hAnsi="宋体" w:eastAsia="宋体" w:cs="Times New Roman"/>
                      <w:lang w:eastAsia="zh-CN"/>
                    </w:rPr>
                    <w:t>数</w:t>
                  </w:r>
                  <w:r>
                    <w:rPr>
                      <w:rFonts w:hint="eastAsia" w:ascii="宋体" w:hAnsi="宋体" w:eastAsia="宋体" w:cs="Times New Roman"/>
                    </w:rPr>
                    <w:t>/合同总数) ×100％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eastAsia="zh-CN"/>
                    </w:rPr>
                    <w:t>技术部</w:t>
                  </w:r>
                </w:p>
              </w:tc>
              <w:tc>
                <w:tcPr>
                  <w:tcW w:w="1774"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r>
                    <w:rPr>
                      <w:rFonts w:hint="eastAsia" w:ascii="宋体" w:hAnsi="宋体"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顾客满意度</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通过每年底向顾客发出顾客满意度调查表分值</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eastAsia="zh-CN"/>
                    </w:rPr>
                    <w:t>供销部</w:t>
                  </w:r>
                </w:p>
              </w:tc>
              <w:tc>
                <w:tcPr>
                  <w:tcW w:w="1774"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eastAsia="zh-CN"/>
                    </w:rPr>
                    <w:t>顾客投诉处理率</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eastAsia="zh-CN"/>
                    </w:rPr>
                    <w:t>（顾客投诉处理数</w:t>
                  </w:r>
                  <w:r>
                    <w:rPr>
                      <w:rFonts w:hint="eastAsia" w:ascii="宋体" w:hAnsi="宋体" w:eastAsia="宋体" w:cs="Times New Roman"/>
                      <w:lang w:val="en-US" w:eastAsia="zh-CN"/>
                    </w:rPr>
                    <w:t>/顾客投诉总数）×100％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eastAsia="zh-CN"/>
                    </w:rPr>
                    <w:t>技术部</w:t>
                  </w:r>
                </w:p>
              </w:tc>
              <w:tc>
                <w:tcPr>
                  <w:tcW w:w="1774"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none"/>
              </w:rPr>
            </w:pPr>
            <w:r>
              <w:rPr>
                <w:rFonts w:hint="eastAsia"/>
                <w:highlight w:val="none"/>
              </w:rPr>
              <w:t>建筑面积</w:t>
            </w:r>
            <w:r>
              <w:rPr>
                <w:rFonts w:hint="eastAsia"/>
                <w:highlight w:val="none"/>
                <w:lang w:eastAsia="zh-CN"/>
              </w:rPr>
              <w:t>200平方米</w:t>
            </w:r>
            <w:r>
              <w:rPr>
                <w:rFonts w:hint="eastAsia"/>
                <w:highlight w:val="none"/>
              </w:rPr>
              <w:t xml:space="preserve">；生产车间  个；库房  </w:t>
            </w:r>
            <w:r>
              <w:rPr>
                <w:rFonts w:hint="eastAsia"/>
                <w:highlight w:val="none"/>
                <w:lang w:val="en-US" w:eastAsia="zh-CN"/>
              </w:rPr>
              <w:t xml:space="preserve"> </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u w:val="single"/>
                <w:lang w:eastAsia="zh-CN"/>
              </w:rPr>
              <w:t>电钻、弯管器、人字梯、网线钳、螺丝刀等手动工具、电脑、打印机等办公设备</w:t>
            </w:r>
            <w:r>
              <w:rPr>
                <w:rFonts w:hint="eastAsia"/>
                <w:highlight w:val="none"/>
                <w:lang w:eastAsia="zh-CN"/>
              </w:rPr>
              <w:t>。</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宋体" w:hAnsi="宋体" w:eastAsia="宋体" w:cs="宋体"/>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r>
              <w:rPr>
                <w:rFonts w:hint="eastAsia" w:ascii="宋体" w:hAnsi="宋体" w:cs="宋体"/>
                <w:color w:val="auto"/>
                <w:szCs w:val="21"/>
                <w:highlight w:val="none"/>
                <w:u w:val="single"/>
              </w:rPr>
              <w:t>测线仪、巡线仪、万用表</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宋体" w:hAnsi="宋体" w:eastAsia="宋体" w:cs="宋体"/>
                <w:highlight w:val="none"/>
                <w:lang w:eastAsia="zh-CN"/>
              </w:rPr>
              <w:t>■</w:t>
            </w:r>
            <w:r>
              <w:rPr>
                <w:rFonts w:hint="eastAsia"/>
                <w:highlight w:val="none"/>
              </w:rPr>
              <w:t>未进行定期校准/检定的有：</w:t>
            </w:r>
            <w:r>
              <w:rPr>
                <w:rFonts w:hint="eastAsia"/>
              </w:rPr>
              <w:t xml:space="preserve"> </w:t>
            </w:r>
            <w:r>
              <w:rPr>
                <w:rFonts w:hint="eastAsia" w:ascii="宋体" w:hAnsi="宋体" w:cs="宋体"/>
                <w:color w:val="auto"/>
                <w:szCs w:val="21"/>
                <w:highlight w:val="none"/>
                <w:u w:val="single"/>
              </w:rPr>
              <w:t>测线仪、巡线仪、万用表</w:t>
            </w:r>
            <w:r>
              <w:rPr>
                <w:rFonts w:hint="eastAsia"/>
                <w:u w:val="single"/>
              </w:rPr>
              <w:t xml:space="preserve"> </w:t>
            </w:r>
            <w:r>
              <w:rPr>
                <w:rFonts w:hint="eastAsia"/>
                <w:u w:val="single"/>
                <w:lang w:eastAsia="zh-CN"/>
              </w:rPr>
              <w:t>，</w:t>
            </w:r>
            <w:r>
              <w:rPr>
                <w:rFonts w:hint="eastAsia"/>
                <w:u w:val="single"/>
                <w:lang w:val="en-US" w:eastAsia="zh-CN"/>
              </w:rPr>
              <w:t>已开具不符合</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宋体" w:hAnsi="宋体" w:eastAsia="宋体" w:cs="宋体"/>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w:t>
            </w:r>
            <w:r>
              <w:rPr>
                <w:rFonts w:hint="eastAsia"/>
                <w:highlight w:val="none"/>
              </w:rPr>
              <w:t>/项目名称：</w:t>
            </w:r>
            <w:r>
              <w:rPr>
                <w:rFonts w:hint="eastAsia" w:ascii="宋体" w:hAnsi="宋体" w:cs="宋体"/>
                <w:color w:val="000000" w:themeColor="text1"/>
                <w:sz w:val="21"/>
                <w:szCs w:val="21"/>
                <w:highlight w:val="none"/>
                <w:u w:val="single"/>
                <w:lang w:val="en-US" w:eastAsia="zh-CN"/>
              </w:rPr>
              <w:t>国网重庆信通公司智能信访业务优化信息系统</w:t>
            </w:r>
            <w:r>
              <w:rPr>
                <w:rFonts w:hint="eastAsia"/>
                <w:highlight w:val="none"/>
                <w:u w:val="single"/>
                <w:lang w:val="en-US" w:eastAsia="zh-CN"/>
              </w:rPr>
              <w:t xml:space="preserve"> </w:t>
            </w:r>
            <w:r>
              <w:rPr>
                <w:rFonts w:hint="eastAsia"/>
                <w:highlight w:val="none"/>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highlight w:val="yellow"/>
                      <w:u w:val="none"/>
                    </w:rPr>
                  </w:pPr>
                  <w:r>
                    <w:rPr>
                      <w:sz w:val="20"/>
                      <w:u w:val="none"/>
                    </w:rPr>
                    <w:t>应用软件开发、系统集成及运维服务；计算机软硬件销售</w:t>
                  </w:r>
                </w:p>
              </w:tc>
              <w:tc>
                <w:tcPr>
                  <w:tcW w:w="2303" w:type="dxa"/>
                </w:tcPr>
                <w:p>
                  <w:pPr>
                    <w:shd w:val="clear" w:color="auto" w:fill="C7DAF1" w:themeFill="text2" w:themeFillTint="32"/>
                    <w:jc w:val="left"/>
                    <w:rPr>
                      <w:rFonts w:hint="default" w:eastAsia="宋体"/>
                      <w:highlight w:val="yellow"/>
                      <w:u w:val="none"/>
                      <w:lang w:val="en-US" w:eastAsia="zh-CN"/>
                    </w:rPr>
                  </w:pPr>
                  <w:r>
                    <w:rPr>
                      <w:rFonts w:hint="eastAsia"/>
                      <w:color w:val="auto"/>
                      <w:u w:val="none"/>
                      <w:lang w:val="en-US" w:eastAsia="zh-CN"/>
                    </w:rPr>
                    <w:t>安</w:t>
                  </w:r>
                  <w:r>
                    <w:rPr>
                      <w:rFonts w:hint="eastAsia"/>
                      <w:color w:val="auto"/>
                      <w:highlight w:val="none"/>
                      <w:u w:val="none"/>
                      <w:lang w:val="en-US" w:eastAsia="zh-CN"/>
                    </w:rPr>
                    <w:t>装、调试</w:t>
                  </w:r>
                </w:p>
              </w:tc>
              <w:tc>
                <w:tcPr>
                  <w:tcW w:w="3265" w:type="dxa"/>
                </w:tcPr>
                <w:p>
                  <w:pPr>
                    <w:shd w:val="clear" w:color="auto" w:fill="C7DAF1" w:themeFill="text2" w:themeFillTint="32"/>
                    <w:jc w:val="left"/>
                    <w:rPr>
                      <w:rFonts w:hint="default" w:eastAsiaTheme="minorEastAsia"/>
                      <w:highlight w:val="yellow"/>
                      <w:u w:val="none"/>
                      <w:lang w:val="en-US" w:eastAsia="zh-CN"/>
                    </w:rPr>
                  </w:pPr>
                  <w:r>
                    <w:rPr>
                      <w:rFonts w:hint="eastAsia" w:ascii="Times New Roman" w:hAnsi="Times New Roman" w:eastAsia="宋体" w:cs="Times New Roman"/>
                      <w:color w:val="auto"/>
                      <w:highlight w:val="none"/>
                      <w:u w:val="none"/>
                      <w:lang w:val="en-US" w:eastAsia="zh-CN"/>
                    </w:rPr>
                    <w:t>位置正确，</w:t>
                  </w:r>
                  <w:r>
                    <w:rPr>
                      <w:rFonts w:hint="eastAsia" w:ascii="Times New Roman" w:hAnsi="Times New Roman" w:eastAsia="宋体" w:cs="Times New Roman"/>
                      <w:color w:val="auto"/>
                      <w:highlight w:val="none"/>
                      <w:u w:val="none"/>
                    </w:rPr>
                    <w:t>功能</w:t>
                  </w:r>
                  <w:r>
                    <w:rPr>
                      <w:rFonts w:hint="eastAsia" w:ascii="Times New Roman" w:hAnsi="Times New Roman" w:eastAsia="宋体" w:cs="Times New Roman"/>
                      <w:color w:val="auto"/>
                      <w:highlight w:val="none"/>
                      <w:u w:val="none"/>
                      <w:lang w:eastAsia="zh-CN"/>
                    </w:rPr>
                    <w:t>、</w:t>
                  </w:r>
                  <w:r>
                    <w:rPr>
                      <w:rFonts w:hint="eastAsia" w:ascii="Times New Roman" w:hAnsi="Times New Roman" w:eastAsia="宋体" w:cs="Times New Roman"/>
                      <w:color w:val="auto"/>
                      <w:highlight w:val="none"/>
                      <w:u w:val="none"/>
                      <w:lang w:val="en-US" w:eastAsia="zh-CN"/>
                    </w:rPr>
                    <w:t>性能满足要求，及时交付</w:t>
                  </w:r>
                  <w:r>
                    <w:rPr>
                      <w:rFonts w:ascii="Times New Roman" w:hAnsi="Times New Roman" w:eastAsia="宋体" w:cs="Times New Roman"/>
                      <w:color w:val="auto"/>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宋体"/>
                <w:szCs w:val="21"/>
                <w:highlight w:val="none"/>
                <w:u w:val="single"/>
              </w:rPr>
              <w:t>隐蔽过程</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销售服务过程</w:t>
            </w:r>
            <w:r>
              <w:rPr>
                <w:rFonts w:hint="eastAsia"/>
              </w:rPr>
              <w:t xml:space="preserve"> ，</w:t>
            </w:r>
          </w:p>
          <w:p>
            <w:pPr>
              <w:shd w:val="clear" w:color="auto" w:fill="C7DAF1" w:themeFill="text2" w:themeFillTint="32"/>
              <w:jc w:val="left"/>
              <w:rPr>
                <w:highlight w:val="none"/>
              </w:rPr>
            </w:pPr>
            <w:r>
              <w:rPr>
                <w:rFonts w:hint="eastAsia" w:ascii="宋体" w:hAnsi="宋体" w:eastAsia="宋体" w:cs="宋体"/>
                <w:lang w:eastAsia="zh-CN"/>
              </w:rPr>
              <w:t>■</w:t>
            </w:r>
            <w:r>
              <w:rPr>
                <w:rFonts w:hint="eastAsia"/>
              </w:rPr>
              <w:t>进行了有</w:t>
            </w:r>
            <w:r>
              <w:rPr>
                <w:rFonts w:hint="eastAsia"/>
                <w:highlight w:val="none"/>
              </w:rPr>
              <w:t xml:space="preserve">效的确认  </w:t>
            </w:r>
            <w:r>
              <w:rPr>
                <w:rFonts w:hint="eastAsia" w:ascii="Wingdings" w:hAnsi="Wingdings"/>
                <w:lang w:eastAsia="zh-CN"/>
              </w:rPr>
              <w:t>□</w:t>
            </w:r>
            <w:r>
              <w:rPr>
                <w:rFonts w:hint="eastAsia"/>
                <w:highlight w:val="none"/>
              </w:rPr>
              <w:t>存在不足，说明</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rPr>
              <w:t xml:space="preserve"> </w:t>
            </w:r>
            <w:r>
              <w:rPr>
                <w:rFonts w:hint="eastAsia"/>
                <w:highlight w:val="none"/>
                <w:u w:val="single"/>
                <w:lang w:val="en-US" w:eastAsia="zh-CN"/>
              </w:rPr>
              <w:t>2022年4月10日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2022年4月20日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宋体" w:hAnsi="宋体" w:eastAsia="宋体" w:cs="宋体"/>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诚信守法，质量为本，服务创优；节约资源，预防污染，保护环境；预防为主，安全第一，持续改进</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行政部 </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w:t>
                  </w:r>
                  <w:r>
                    <w:rPr>
                      <w:rFonts w:hint="eastAsia" w:ascii="宋体" w:hAnsi="宋体"/>
                      <w:highlight w:val="none"/>
                    </w:rPr>
                    <w:t>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固体废弃物合理处置率100</w:t>
                  </w:r>
                  <w:r>
                    <w:rPr>
                      <w:rFonts w:hint="eastAsia" w:cs="Times New Roman" w:asciiTheme="minorEastAsia" w:hAnsiTheme="minorEastAsia" w:eastAsiaTheme="minorEastAsia"/>
                      <w:b w:val="0"/>
                      <w:bCs w:val="0"/>
                      <w:sz w:val="21"/>
                      <w:szCs w:val="21"/>
                      <w:highlight w:val="none"/>
                      <w:lang w:eastAsia="zh-CN"/>
                    </w:rPr>
                    <w:t>％</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 xml:space="preserve">行政部 </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 xml:space="preserve">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火灾事故发生次数</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 xml:space="preserve">行政部 </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建筑面</w:t>
            </w:r>
            <w:r>
              <w:rPr>
                <w:rFonts w:hint="eastAsia" w:ascii="Times New Roman" w:hAnsi="Times New Roman" w:eastAsia="宋体" w:cs="Times New Roman"/>
                <w:highlight w:val="none"/>
              </w:rPr>
              <w:t>积</w:t>
            </w:r>
            <w:r>
              <w:rPr>
                <w:rFonts w:hint="eastAsia" w:cs="Times New Roman"/>
                <w:highlight w:val="none"/>
                <w:lang w:eastAsia="zh-CN"/>
              </w:rPr>
              <w:t>200平方米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电钻、弯管器、人字梯、网线钳、螺丝刀等手动工具、电脑、打印机等办公设备</w:t>
            </w:r>
            <w:r>
              <w:rPr>
                <w:rFonts w:hint="eastAsia" w:ascii="Times New Roman" w:hAnsi="Times New Roman" w:eastAsia="宋体" w:cs="Times New Roman"/>
                <w:highlight w:val="none"/>
                <w:lang w:eastAsia="zh-CN"/>
              </w:rPr>
              <w:t>。</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highlight w:val="none"/>
              </w:rPr>
              <w:t>辅助场所：</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高压配电室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低压配电室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空压站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锅炉房 </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 xml:space="preserve">食堂  </w:t>
            </w:r>
            <w:r>
              <w:rPr>
                <w:rFonts w:hint="eastAsia" w:ascii="Times New Roman" w:hAnsi="Times New Roman" w:eastAsia="宋体" w:cs="Times New Roman"/>
                <w:highlight w:val="none"/>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w:t>
            </w:r>
            <w:r>
              <w:rPr>
                <w:rFonts w:hint="eastAsia"/>
                <w:highlight w:val="none"/>
              </w:rPr>
              <w:t>/项目名称：</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国网重庆信通公司智能信访业务优化信息系统</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r>
              <w:rPr>
                <w:rFonts w:hint="eastAsia"/>
                <w:highlight w:val="none"/>
              </w:rPr>
              <w:t>对该设计和开发的项目对环境因素进</w:t>
            </w:r>
            <w:r>
              <w:rPr>
                <w:rFonts w:hint="eastAsia"/>
              </w:rPr>
              <w:t>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shd w:val="clear" w:color="auto" w:fill="EBF1DE" w:themeFill="accent3" w:themeFillTint="32"/>
                    <w:rPr>
                      <w:rFonts w:hint="eastAsia" w:ascii="Times New Roman" w:hAnsi="Times New Roman" w:eastAsia="宋体" w:cs="Times New Roman"/>
                      <w:color w:val="000000"/>
                      <w:kern w:val="2"/>
                      <w:sz w:val="21"/>
                      <w:szCs w:val="18"/>
                      <w:highlight w:val="yellow"/>
                      <w:lang w:val="en-US" w:eastAsia="zh-CN" w:bidi="ar-SA"/>
                    </w:rPr>
                  </w:pPr>
                  <w:r>
                    <w:rPr>
                      <w:rFonts w:hint="eastAsia"/>
                      <w:highlight w:val="none"/>
                      <w:lang w:val="en-US" w:eastAsia="zh-CN"/>
                    </w:rPr>
                    <w:t>固废排放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cs="宋体"/>
                <w:lang w:eastAsia="zh-CN"/>
              </w:rPr>
              <w:t>■其他：售后服务、维保服务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u w:val="single"/>
                <w:lang w:eastAsia="zh-CN"/>
              </w:rPr>
              <w:t>2022年3月20日进行了火灾演练</w:t>
            </w:r>
            <w:r>
              <w:rPr>
                <w:rFonts w:hint="eastAsia"/>
                <w:highlight w:val="none"/>
              </w:rPr>
              <w:t>；并</w:t>
            </w:r>
            <w:r>
              <w:rPr>
                <w:rFonts w:hint="eastAsia"/>
              </w:rPr>
              <w:t xml:space="preserve">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lang w:eastAsia="zh-CN"/>
              </w:rPr>
              <w:t>2022年3月20日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2022年4月10日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宋体" w:hAnsi="宋体" w:eastAsia="宋体" w:cs="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s="Times New Roman"/>
                <w:color w:val="000000"/>
                <w:szCs w:val="18"/>
                <w:highlight w:val="none"/>
                <w:u w:val="single"/>
                <w:lang w:eastAsia="zh-CN"/>
              </w:rPr>
              <w:t>2022年4月20日</w:t>
            </w:r>
            <w:r>
              <w:rPr>
                <w:rFonts w:hint="eastAsia"/>
                <w:highlight w:val="none"/>
              </w:rPr>
              <w:t>对组织的环境管理体系进行了评审，以确保其持续的适宜性、充分性和有效性；管理评审输入、输出均</w:t>
            </w:r>
            <w:r>
              <w:rPr>
                <w:rFonts w:hint="eastAsia"/>
              </w:rPr>
              <w:t>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ascii="宋体" w:hAnsi="宋体" w:eastAsia="宋体" w:cs="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 xml:space="preserve">诚信守法，质量为本，服务创优；节约资源，预防污染，保护环境；预防为主，安全第一，持续改进 </w:t>
            </w:r>
            <w:r>
              <w:rPr>
                <w:rFonts w:hint="eastAsia" w:ascii="Times New Roman" w:hAnsi="Times New Roman" w:eastAsia="宋体" w:cs="Times New Roman"/>
                <w:color w:val="000000"/>
                <w:szCs w:val="18"/>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 xml:space="preserve">行政部 </w:t>
            </w:r>
          </w:p>
          <w:p>
            <w:pPr>
              <w:rPr>
                <w:rFonts w:hint="default" w:eastAsia="宋体"/>
                <w:lang w:val="en-US" w:eastAsia="zh-CN"/>
              </w:rPr>
            </w:pPr>
            <w:r>
              <w:rPr>
                <w:rFonts w:hint="eastAsia"/>
              </w:rPr>
              <w:t>安全的主管部门是——</w:t>
            </w:r>
            <w:r>
              <w:rPr>
                <w:rFonts w:hint="eastAsia"/>
                <w:lang w:val="en-US" w:eastAsia="zh-CN"/>
              </w:rPr>
              <w:t xml:space="preserve">行政部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陈致尧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触电</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none"/>
                      <w:lang w:val="en-US" w:eastAsia="zh-CN"/>
                    </w:rPr>
                  </w:pPr>
                  <w:r>
                    <w:rPr>
                      <w:rFonts w:hint="eastAsia"/>
                      <w:highlight w:val="none"/>
                      <w:lang w:val="en-US" w:eastAsia="zh-CN"/>
                    </w:rPr>
                    <w:t>交通意外</w:t>
                  </w:r>
                </w:p>
              </w:tc>
              <w:tc>
                <w:tcPr>
                  <w:tcW w:w="3965" w:type="dxa"/>
                  <w:vAlign w:val="top"/>
                </w:tcPr>
                <w:p>
                  <w:pPr>
                    <w:rPr>
                      <w:rFonts w:hint="eastAsia" w:ascii="Times New Roman" w:hAnsi="Times New Roman" w:cs="Times New Roman" w:eastAsiaTheme="minorEastAsia"/>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lang w:val="en-US" w:eastAsia="zh-CN"/>
              </w:rPr>
              <w:t>交通事故</w:t>
            </w:r>
            <w:r>
              <w:rPr>
                <w:rFonts w:hint="eastAsia" w:ascii="宋体" w:hAnsi="宋体" w:cs="宋体"/>
                <w:szCs w:val="21"/>
                <w:highlight w:val="none"/>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ascii="宋体" w:hAnsi="宋体" w:eastAsia="宋体" w:cs="宋体"/>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136" w:type="dxa"/>
                  <w:shd w:val="clear" w:color="auto" w:fill="auto"/>
                </w:tcPr>
                <w:p>
                  <w:pPr>
                    <w:rPr>
                      <w:rFonts w:ascii="宋体" w:hAnsi="宋体"/>
                      <w:highlight w:val="none"/>
                    </w:rPr>
                  </w:pPr>
                  <w:r>
                    <w:rPr>
                      <w:rFonts w:hint="eastAsia" w:ascii="宋体" w:hAnsi="宋体"/>
                      <w:highlight w:val="none"/>
                    </w:rPr>
                    <w:t>控制措施</w:t>
                  </w:r>
                </w:p>
              </w:tc>
              <w:tc>
                <w:tcPr>
                  <w:tcW w:w="1350" w:type="dxa"/>
                  <w:shd w:val="clear" w:color="auto" w:fill="auto"/>
                </w:tcPr>
                <w:p>
                  <w:pPr>
                    <w:rPr>
                      <w:rFonts w:ascii="宋体" w:hAnsi="宋体"/>
                      <w:highlight w:val="none"/>
                    </w:rPr>
                  </w:pPr>
                  <w:r>
                    <w:rPr>
                      <w:rFonts w:hint="eastAsia" w:ascii="宋体" w:hAnsi="宋体"/>
                      <w:highlight w:val="none"/>
                    </w:rPr>
                    <w:t>责任部门</w:t>
                  </w:r>
                </w:p>
              </w:tc>
              <w:tc>
                <w:tcPr>
                  <w:tcW w:w="1774"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bCs/>
                      <w:sz w:val="22"/>
                      <w:szCs w:val="22"/>
                    </w:rPr>
                    <w:t>火灾事故发生次数</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 xml:space="preserve">行政部 </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 w:val="22"/>
                      <w:szCs w:val="22"/>
                      <w:lang w:eastAsia="zh-CN"/>
                    </w:rPr>
                    <w:t>伤害率</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 xml:space="preserve">行政部 </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highlight w:val="none"/>
                    </w:rPr>
                  </w:pPr>
                </w:p>
              </w:tc>
              <w:tc>
                <w:tcPr>
                  <w:tcW w:w="3136" w:type="dxa"/>
                  <w:shd w:val="clear" w:color="auto" w:fill="auto"/>
                  <w:vAlign w:val="center"/>
                </w:tcPr>
                <w:p>
                  <w:pPr>
                    <w:rPr>
                      <w:rFonts w:ascii="宋体" w:hAnsi="宋体"/>
                      <w:highlight w:val="none"/>
                    </w:rPr>
                  </w:pPr>
                </w:p>
              </w:tc>
              <w:tc>
                <w:tcPr>
                  <w:tcW w:w="1350" w:type="dxa"/>
                  <w:shd w:val="clear" w:color="auto" w:fill="auto"/>
                  <w:vAlign w:val="center"/>
                </w:tcPr>
                <w:p>
                  <w:pPr>
                    <w:rPr>
                      <w:rFonts w:ascii="宋体" w:hAnsi="宋体"/>
                      <w:highlight w:val="none"/>
                    </w:rPr>
                  </w:pPr>
                </w:p>
              </w:tc>
              <w:tc>
                <w:tcPr>
                  <w:tcW w:w="1774" w:type="dxa"/>
                  <w:shd w:val="clear" w:color="auto" w:fill="auto"/>
                  <w:vAlign w:val="center"/>
                </w:tcPr>
                <w:p>
                  <w:pPr>
                    <w:jc w:val="left"/>
                    <w:rPr>
                      <w:rFonts w:hint="default" w:ascii="宋体" w:hAnsi="宋体" w:eastAsia="宋体"/>
                      <w:highlight w:val="none"/>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w:t>
            </w:r>
            <w:r>
              <w:rPr>
                <w:rFonts w:hint="eastAsia" w:ascii="Times New Roman" w:hAnsi="Times New Roman" w:eastAsia="宋体" w:cs="Times New Roman"/>
                <w:highlight w:val="none"/>
              </w:rPr>
              <w:t>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200平方米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u w:val="single"/>
                <w:lang w:eastAsia="zh-CN"/>
              </w:rPr>
              <w:t>电钻、弯管器、人字梯、网线钳、螺丝刀等手动工具、电脑、打印机等办公设备</w:t>
            </w:r>
            <w:r>
              <w:rPr>
                <w:rFonts w:hint="eastAsia" w:ascii="Times New Roman" w:hAnsi="Times New Roman" w:eastAsia="宋体" w:cs="Times New Roman"/>
                <w:highlight w:val="none"/>
                <w:u w:val="single"/>
                <w:lang w:eastAsia="zh-CN"/>
              </w:rPr>
              <w:t>。</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宋体" w:hAnsi="宋体" w:eastAsia="宋体" w:cs="宋体"/>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highlight w:val="none"/>
                <w:u w:val="single"/>
              </w:rPr>
            </w:pPr>
            <w:r>
              <w:rPr>
                <w:rFonts w:hint="eastAsia"/>
              </w:rPr>
              <w:t>审核期</w:t>
            </w:r>
            <w:r>
              <w:rPr>
                <w:rFonts w:hint="eastAsia"/>
                <w:highlight w:val="none"/>
              </w:rPr>
              <w:t>间内，设计和开发新产品/项目名称：</w:t>
            </w:r>
            <w:r>
              <w:rPr>
                <w:rFonts w:hint="eastAsia"/>
                <w:highlight w:val="none"/>
                <w:lang w:val="en-US" w:eastAsia="zh-CN"/>
              </w:rPr>
              <w:t xml:space="preserve"> </w:t>
            </w:r>
            <w:r>
              <w:rPr>
                <w:rFonts w:hint="eastAsia"/>
                <w:highlight w:val="none"/>
                <w:u w:val="single"/>
                <w:lang w:val="en-US" w:eastAsia="zh-CN"/>
              </w:rPr>
              <w:t xml:space="preserve"> </w:t>
            </w:r>
            <w:r>
              <w:rPr>
                <w:rFonts w:hint="eastAsia" w:ascii="宋体" w:hAnsi="宋体" w:cs="宋体"/>
                <w:color w:val="000000" w:themeColor="text1"/>
                <w:sz w:val="21"/>
                <w:szCs w:val="21"/>
                <w:highlight w:val="none"/>
                <w:u w:val="single"/>
                <w:lang w:val="en-US" w:eastAsia="zh-CN"/>
              </w:rPr>
              <w:t>国网重庆信通公司智能信访业务优化信息系统</w:t>
            </w:r>
            <w:r>
              <w:rPr>
                <w:rFonts w:hint="eastAsia"/>
                <w:highlight w:val="none"/>
                <w:u w:val="single"/>
                <w:lang w:val="en-US" w:eastAsia="zh-CN"/>
              </w:rPr>
              <w:t xml:space="preserve"> </w:t>
            </w:r>
            <w:r>
              <w:rPr>
                <w:rFonts w:hint="eastAsia"/>
                <w:highlight w:val="none"/>
                <w:u w:val="single"/>
                <w:lang w:eastAsia="zh-CN"/>
              </w:rPr>
              <w:t>（</w:t>
            </w:r>
            <w:r>
              <w:rPr>
                <w:rFonts w:hint="eastAsia"/>
                <w:highlight w:val="none"/>
                <w:u w:val="single"/>
              </w:rPr>
              <w:t>举1例）</w:t>
            </w:r>
          </w:p>
          <w:p>
            <w:r>
              <w:rPr>
                <w:rFonts w:hint="eastAsia"/>
                <w:highlight w:val="none"/>
              </w:rPr>
              <w:t>对该设计和</w:t>
            </w:r>
            <w:r>
              <w:rPr>
                <w:rFonts w:hint="eastAsia"/>
              </w:rPr>
              <w:t>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lang w:eastAsia="zh-CN"/>
                    </w:rPr>
                    <w:t>□</w:t>
                  </w: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lang w:eastAsia="zh-CN"/>
              </w:rPr>
              <w:t>■其他：售后服务、维保服务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highlight w:val="none"/>
                <w:u w:val="single"/>
                <w:lang w:eastAsia="zh-CN"/>
              </w:rPr>
              <w:t>2022年3月20日进行了火灾演练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lang w:eastAsia="zh-CN"/>
              </w:rPr>
              <w:t>2022年3月20日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2022年4月10日</w:t>
            </w:r>
            <w:r>
              <w:rPr>
                <w:rFonts w:hint="eastAsia"/>
              </w:rPr>
              <w:t>实施了职业健康安全管理体系内部审核，对职业健康安全管理体系的符合性和有效性进行了审核。内审</w:t>
            </w:r>
            <w:r>
              <w:rPr>
                <w:rFonts w:hint="eastAsia"/>
                <w:highlight w:val="none"/>
              </w:rPr>
              <w:t xml:space="preserve">发现的 </w:t>
            </w:r>
            <w:r>
              <w:rPr>
                <w:rFonts w:hint="eastAsia"/>
                <w:highlight w:val="none"/>
                <w:lang w:val="en-US" w:eastAsia="zh-CN"/>
              </w:rPr>
              <w:t>1</w:t>
            </w:r>
            <w:r>
              <w:rPr>
                <w:rFonts w:hint="eastAsia"/>
                <w:highlight w:val="none"/>
              </w:rPr>
              <w:t xml:space="preserve"> 项不</w:t>
            </w:r>
            <w:r>
              <w:rPr>
                <w:rFonts w:hint="eastAsia"/>
              </w:rPr>
              <w:t>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2022年4月20日</w:t>
            </w:r>
            <w:r>
              <w:rPr>
                <w:rFonts w:hint="eastAsia"/>
                <w:highlight w:val="none"/>
              </w:rPr>
              <w:t>对组织</w:t>
            </w:r>
            <w:r>
              <w:rPr>
                <w:rFonts w:hint="eastAsia"/>
              </w:rPr>
              <w:t>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bookmarkStart w:id="25" w:name="_GoBack"/>
            <w:r>
              <w:rPr>
                <w:rFonts w:hint="eastAsia"/>
              </w:rPr>
              <w:t>针对下列方面采取了纠正措施</w:t>
            </w:r>
            <w:bookmarkEnd w:id="25"/>
            <w:r>
              <w:rPr>
                <w:rFonts w:hint="eastAsia"/>
              </w:rPr>
              <w:t>：</w:t>
            </w:r>
          </w:p>
          <w:p>
            <w:r>
              <w:rPr>
                <w:rFonts w:hint="eastAsia" w:ascii="宋体" w:hAnsi="宋体" w:eastAsia="宋体" w:cs="宋体"/>
                <w:lang w:eastAsia="zh-CN"/>
              </w:rPr>
              <w:t>■</w:t>
            </w:r>
            <w:r>
              <w:rPr>
                <w:rFonts w:hint="eastAsia"/>
              </w:rPr>
              <w:t xml:space="preserve">检测结果不合格 </w:t>
            </w:r>
            <w:r>
              <w:rPr>
                <w:rFonts w:hint="eastAsia" w:ascii="宋体" w:hAnsi="宋体" w:eastAsia="宋体" w:cs="宋体"/>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宋体" w:hAnsi="宋体" w:eastAsia="宋体" w:cs="宋体"/>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F5B25DB"/>
    <w:rsid w:val="17DD634C"/>
    <w:rsid w:val="435A5A12"/>
    <w:rsid w:val="459853A4"/>
    <w:rsid w:val="74B73B35"/>
    <w:rsid w:val="7C653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19970</Words>
  <Characters>21228</Characters>
  <Lines>150</Lines>
  <Paragraphs>42</Paragraphs>
  <TotalTime>0</TotalTime>
  <ScaleCrop>false</ScaleCrop>
  <LinksUpToDate>false</LinksUpToDate>
  <CharactersWithSpaces>24263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2022-05-24T06:12:06Z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