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0422-2021-2022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91"/>
        <w:gridCol w:w="1227"/>
        <w:gridCol w:w="1164"/>
        <w:gridCol w:w="1364"/>
        <w:gridCol w:w="1691"/>
        <w:gridCol w:w="1309"/>
        <w:gridCol w:w="1009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48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大庆市鑫光耀石油机械制造有限公司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/管理编号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生产车间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2354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150)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通用量块3等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卡尺量块3等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2022.4.18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生产车间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XGY-01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-360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°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1′,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角度量块2级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2022.4.18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XGY-03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1μm,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千分尺量块3等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数显量仪测力计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2022.4.18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内径卡钳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XGY-07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300㎜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4μm+7×10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通用量块3等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光滑环规3等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2022.4.18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中国航发南方工业有限公司计量实验室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drawing>
                <wp:inline distT="0" distB="0" distL="0" distR="0">
                  <wp:extent cx="871855" cy="205740"/>
                  <wp:effectExtent l="0" t="0" r="0" b="7620"/>
                  <wp:docPr id="4" name="图片 4" descr="C:\Users\Administrator\Desktop\刘东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刘东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CE73A7"/>
    <w:rsid w:val="2146579D"/>
    <w:rsid w:val="35D67342"/>
    <w:rsid w:val="5E145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2022-05-24T01:43:15Z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6132E70AA16B4AB099AD52D6610B9161</vt:lpwstr>
  </property>
</Properties>
</file>