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0489-2022-QO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内蒙古义通新能源有限公司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2022年05月22日 上午至2022年05月22日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内蒙古呼和浩特市沙尔沁镇阳光大街爱迩园区3号厂房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bookmarkStart w:id="37" w:name="_GoBack"/>
      <w:bookmarkEnd w:id="37"/>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2019-N1QMS-2210533</w:t>
            </w:r>
          </w:p>
          <w:p>
            <w:pPr>
              <w:spacing w:line="240" w:lineRule="exact"/>
              <w:jc w:val="center"/>
              <w:rPr>
                <w:b/>
                <w:color w:val="000000"/>
                <w:szCs w:val="21"/>
              </w:rPr>
            </w:pPr>
            <w:r>
              <w:rPr>
                <w:b/>
                <w:color w:val="000000"/>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2021-N1QMS-2222792</w:t>
            </w:r>
          </w:p>
          <w:p>
            <w:pPr>
              <w:spacing w:line="240" w:lineRule="exact"/>
              <w:jc w:val="center"/>
              <w:rPr>
                <w:b/>
                <w:color w:val="000000"/>
                <w:szCs w:val="21"/>
              </w:rPr>
            </w:pPr>
            <w:r>
              <w:rPr>
                <w:b/>
                <w:color w:val="000000"/>
                <w:szCs w:val="21"/>
              </w:rPr>
              <w:t>2021-N1OHSMS-2222792</w:t>
            </w:r>
          </w:p>
        </w:tc>
        <w:tc>
          <w:tcPr>
            <w:tcW w:w="1140" w:type="dxa"/>
            <w:vAlign w:val="center"/>
          </w:tcPr>
          <w:p>
            <w:pPr>
              <w:spacing w:line="240" w:lineRule="exact"/>
              <w:jc w:val="center"/>
              <w:rPr>
                <w:b/>
                <w:color w:val="000000"/>
                <w:szCs w:val="21"/>
              </w:rPr>
            </w:pPr>
            <w:r>
              <w:rPr>
                <w:b/>
                <w:color w:val="000000"/>
                <w:szCs w:val="21"/>
              </w:rPr>
              <w:t>Q:15.06.02</w:t>
            </w:r>
          </w:p>
          <w:p>
            <w:pPr>
              <w:spacing w:line="240" w:lineRule="exact"/>
              <w:jc w:val="center"/>
              <w:rPr>
                <w:rFonts w:hint="eastAsia" w:eastAsia="宋体"/>
                <w:b/>
                <w:color w:val="000000"/>
                <w:szCs w:val="21"/>
                <w:lang w:val="en-US" w:eastAsia="zh-CN"/>
              </w:rPr>
            </w:pPr>
            <w:r>
              <w:rPr>
                <w:b/>
                <w:color w:val="000000"/>
                <w:szCs w:val="21"/>
              </w:rPr>
              <w:t>O:15.06.02</w:t>
            </w:r>
            <w:r>
              <w:rPr>
                <w:rFonts w:hint="eastAsia"/>
                <w:b/>
                <w:color w:val="000000"/>
                <w:szCs w:val="21"/>
                <w:lang w:val="en-US" w:eastAsia="zh-CN"/>
              </w:rPr>
              <w:t>B</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内蒙古义通新能源有限公司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内蒙古自治区呼和浩特经济技术开发区沙尔沁工业园区开发大街审图中心主楼3008-3</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010111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内蒙古呼和浩特市沙尔沁镇阳光大街爱迩园区3号厂房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010111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张硕</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17551820291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刘康</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刘康</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太阳能光伏石英制品的加工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630"/>
              </w:tabs>
              <w:spacing w:line="440" w:lineRule="exact"/>
              <w:ind w:right="600"/>
              <w:jc w:val="left"/>
              <w:rPr>
                <w:rFonts w:hint="eastAsia" w:ascii="宋体" w:hAnsi="宋体"/>
                <w:b/>
                <w:sz w:val="24"/>
              </w:rPr>
            </w:pPr>
            <w:r>
              <w:rPr>
                <w:rFonts w:hint="eastAsia" w:ascii="宋体" w:hAnsi="宋体"/>
                <w:b/>
                <w:sz w:val="24"/>
              </w:rPr>
              <w:t>石英筒生产流程</w:t>
            </w:r>
          </w:p>
          <w:p>
            <w:pPr>
              <w:tabs>
                <w:tab w:val="left" w:pos="630"/>
              </w:tabs>
              <w:spacing w:line="480" w:lineRule="auto"/>
              <w:ind w:right="600"/>
              <w:rPr>
                <w:rFonts w:hint="eastAsia" w:ascii="宋体" w:hAnsi="宋体"/>
                <w:sz w:val="24"/>
              </w:rPr>
            </w:pPr>
            <w:r>
              <w:rPr>
                <w:rFonts w:hint="eastAsia" w:ascii="宋体" w:hAnsi="宋体"/>
                <w:sz w:val="24"/>
              </w:rPr>
              <w:t>原材料入厂检验-切割下料-打磨倒角-清洗-对接-退火-打磨-清洗-火抛光-退火-清洗-检测-包装</w:t>
            </w:r>
          </w:p>
          <w:p>
            <w:pPr>
              <w:tabs>
                <w:tab w:val="left" w:pos="630"/>
              </w:tabs>
              <w:spacing w:line="440" w:lineRule="exact"/>
              <w:ind w:right="600"/>
              <w:jc w:val="left"/>
              <w:rPr>
                <w:rFonts w:hint="eastAsia" w:ascii="宋体" w:hAnsi="宋体"/>
                <w:b/>
                <w:sz w:val="24"/>
              </w:rPr>
            </w:pPr>
            <w:r>
              <w:rPr>
                <w:rFonts w:hint="eastAsia" w:ascii="宋体" w:hAnsi="宋体"/>
                <w:b/>
                <w:sz w:val="24"/>
              </w:rPr>
              <w:t>石英锥生产流程</w:t>
            </w:r>
          </w:p>
          <w:p>
            <w:pPr>
              <w:tabs>
                <w:tab w:val="left" w:pos="630"/>
              </w:tabs>
              <w:spacing w:line="480" w:lineRule="auto"/>
              <w:ind w:right="600"/>
              <w:rPr>
                <w:rFonts w:hint="eastAsia" w:ascii="宋体" w:hAnsi="宋体"/>
                <w:sz w:val="24"/>
              </w:rPr>
            </w:pPr>
            <w:r>
              <w:rPr>
                <w:rFonts w:hint="eastAsia" w:ascii="宋体" w:hAnsi="宋体"/>
                <w:sz w:val="24"/>
              </w:rPr>
              <w:t>原材料入厂检验-切料-粗磨-清洗-退火-精磨打孔-检测-包装</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太阳能光伏石英制品的加工</w:t>
            </w:r>
          </w:p>
        </w:tc>
        <w:tc>
          <w:tcPr>
            <w:tcW w:w="2006" w:type="dxa"/>
            <w:gridSpan w:val="3"/>
            <w:vAlign w:val="center"/>
          </w:tcPr>
          <w:p>
            <w:pPr>
              <w:spacing w:line="400" w:lineRule="exact"/>
              <w:rPr>
                <w:rFonts w:ascii="宋体" w:hAnsi="宋体"/>
                <w:b/>
                <w:color w:val="000000"/>
                <w:szCs w:val="21"/>
              </w:rPr>
            </w:pPr>
            <w: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太阳能光伏石英制品的加工所涉及场所的相关职业健康安全管理活动</w:t>
            </w:r>
          </w:p>
        </w:tc>
        <w:tc>
          <w:tcPr>
            <w:tcW w:w="2006" w:type="dxa"/>
            <w:gridSpan w:val="3"/>
            <w:vAlign w:val="center"/>
          </w:tcPr>
          <w:p>
            <w:pPr>
              <w:spacing w:line="400" w:lineRule="exact"/>
              <w:rPr>
                <w:rFonts w:ascii="宋体" w:hAnsi="宋体"/>
                <w:b/>
                <w:color w:val="000000"/>
                <w:szCs w:val="21"/>
              </w:rPr>
            </w:pPr>
            <w:r>
              <w:t>O：15.06.02B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de-DE" w:eastAsia="zh-CN"/>
              </w:rPr>
            </w:pPr>
            <w:r>
              <w:rPr>
                <w:sz w:val="21"/>
                <w:szCs w:val="21"/>
              </w:rPr>
              <w:t>内蒙古义通新能源有限公司</w:t>
            </w:r>
            <w:r>
              <w:rPr>
                <w:rFonts w:hint="eastAsia"/>
                <w:sz w:val="21"/>
                <w:szCs w:val="21"/>
                <w:lang w:eastAsia="zh-CN"/>
              </w:rPr>
              <w:t>；</w:t>
            </w:r>
            <w:r>
              <w:rPr>
                <w:sz w:val="21"/>
                <w:szCs w:val="21"/>
              </w:rPr>
              <w:t>内蒙古自治区呼和浩特经济技术开发区沙尔沁工业园区开发大街审图中心主楼3008-3</w:t>
            </w:r>
          </w:p>
        </w:tc>
        <w:tc>
          <w:tcPr>
            <w:tcW w:w="2267" w:type="dxa"/>
          </w:tcPr>
          <w:p>
            <w:pPr>
              <w:spacing w:before="40" w:after="40"/>
              <w:rPr>
                <w:rFonts w:eastAsia="黑体"/>
                <w:szCs w:val="21"/>
                <w:lang w:val="de-DE" w:eastAsia="ja-JP"/>
              </w:rPr>
            </w:pPr>
            <w:r>
              <w:rPr>
                <w:sz w:val="21"/>
                <w:szCs w:val="21"/>
              </w:rPr>
              <w:t>内蒙古呼和浩特市沙尔沁镇阳光大街爱迩园区3号厂房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19</w:t>
            </w:r>
          </w:p>
        </w:tc>
        <w:tc>
          <w:tcPr>
            <w:tcW w:w="2803" w:type="dxa"/>
            <w:vAlign w:val="center"/>
          </w:tcPr>
          <w:p>
            <w:r>
              <w:t>Q：太阳能光伏石英制品的加工</w:t>
            </w:r>
          </w:p>
          <w:p>
            <w:pPr>
              <w:pStyle w:val="20"/>
              <w:rPr>
                <w:rFonts w:eastAsia="黑体" w:cs="Arial"/>
                <w:sz w:val="21"/>
                <w:szCs w:val="21"/>
                <w:lang w:val="en-US" w:eastAsia="ja-JP"/>
              </w:rPr>
            </w:pPr>
            <w:r>
              <w:t>O：太阳能光伏石英制品的加工所涉及场所的相关</w:t>
            </w:r>
          </w:p>
        </w:tc>
        <w:tc>
          <w:tcPr>
            <w:tcW w:w="669" w:type="dxa"/>
            <w:vAlign w:val="center"/>
          </w:tcPr>
          <w:p>
            <w:pPr>
              <w:rPr>
                <w:rFonts w:ascii="宋体" w:hAnsi="宋体"/>
                <w:b/>
                <w:sz w:val="21"/>
                <w:szCs w:val="21"/>
              </w:rPr>
            </w:pPr>
            <w:r>
              <w:rPr>
                <w:rFonts w:hint="eastAsia" w:ascii="宋体" w:hAnsi="宋体"/>
                <w:b/>
                <w:sz w:val="21"/>
                <w:szCs w:val="21"/>
              </w:rPr>
              <w:t xml:space="preserve">GB/T19001-2016/ISO 9001:2015 </w:t>
            </w:r>
            <w:r>
              <w:rPr>
                <w:rFonts w:hint="eastAsia" w:ascii="宋体" w:hAnsi="宋体"/>
                <w:b/>
                <w:sz w:val="21"/>
                <w:szCs w:val="21"/>
                <w:lang w:eastAsia="zh-CN"/>
              </w:rPr>
              <w:t>；</w:t>
            </w:r>
            <w:r>
              <w:rPr>
                <w:rFonts w:hint="eastAsia" w:ascii="宋体" w:hAnsi="宋体"/>
                <w:b/>
                <w:sz w:val="21"/>
                <w:szCs w:val="21"/>
              </w:rPr>
              <w:t>GB/T 45001-2020/ISO45001：2018</w:t>
            </w:r>
          </w:p>
          <w:p>
            <w:pPr>
              <w:spacing w:before="40" w:after="40"/>
              <w:rPr>
                <w:rFonts w:hint="eastAsia" w:eastAsia="宋体"/>
                <w:szCs w:val="21"/>
                <w:lang w:eastAsia="zh-CN"/>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bookmarkStart w:id="35" w:name="远程审核勾选"/>
                <w:r>
                  <w:rPr>
                    <w:rFonts w:hint="eastAsia" w:ascii="宋体" w:hAnsi="宋体" w:cs="宋体"/>
                    <w:color w:val="000000"/>
                    <w:kern w:val="0"/>
                    <w:szCs w:val="24"/>
                  </w:rPr>
                  <w:t>■</w:t>
                </w:r>
                <w:bookmarkEnd w:id="35"/>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2022-05-2</w:t>
            </w:r>
            <w:bookmarkEnd w:id="36"/>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1834515</wp:posOffset>
            </wp:positionH>
            <wp:positionV relativeFrom="paragraph">
              <wp:posOffset>220980</wp:posOffset>
            </wp:positionV>
            <wp:extent cx="591185" cy="359410"/>
            <wp:effectExtent l="0" t="0" r="3175" b="6350"/>
            <wp:wrapNone/>
            <wp:docPr id="7"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49527f178761179e49e527589a9ef90"/>
                    <pic:cNvPicPr>
                      <a:picLocks noChangeAspect="1"/>
                    </pic:cNvPicPr>
                  </pic:nvPicPr>
                  <pic:blipFill>
                    <a:blip r:embed="rId6">
                      <a:biLevel thresh="50000"/>
                      <a:grayscl/>
                    </a:blip>
                    <a:stretch>
                      <a:fillRect/>
                    </a:stretch>
                  </pic:blipFill>
                  <pic:spPr>
                    <a:xfrm>
                      <a:off x="0" y="0"/>
                      <a:ext cx="591185" cy="35941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4857750</wp:posOffset>
            </wp:positionH>
            <wp:positionV relativeFrom="paragraph">
              <wp:posOffset>49530</wp:posOffset>
            </wp:positionV>
            <wp:extent cx="822960" cy="640080"/>
            <wp:effectExtent l="0" t="0" r="0" b="0"/>
            <wp:wrapNone/>
            <wp:docPr id="6" name="图片 3" descr="d73c2c8d0e6fc0acf305433c8dc73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d73c2c8d0e6fc0acf305433c8dc73d8"/>
                    <pic:cNvPicPr>
                      <a:picLocks noChangeAspect="1"/>
                    </pic:cNvPicPr>
                  </pic:nvPicPr>
                  <pic:blipFill>
                    <a:blip r:embed="rId7"/>
                    <a:stretch>
                      <a:fillRect/>
                    </a:stretch>
                  </pic:blipFill>
                  <pic:spPr>
                    <a:xfrm>
                      <a:off x="0" y="0"/>
                      <a:ext cx="822960" cy="64008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2022.5.22.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ascii="宋体"/>
          <w:b/>
          <w:color w:val="000000"/>
          <w:szCs w:val="21"/>
        </w:rPr>
      </w:pPr>
      <w:r>
        <w:drawing>
          <wp:anchor distT="0" distB="0" distL="114300" distR="114300" simplePos="0" relativeHeight="251664384" behindDoc="0" locked="0" layoutInCell="1" allowOverlap="1">
            <wp:simplePos x="0" y="0"/>
            <wp:positionH relativeFrom="column">
              <wp:posOffset>-173990</wp:posOffset>
            </wp:positionH>
            <wp:positionV relativeFrom="paragraph">
              <wp:posOffset>437515</wp:posOffset>
            </wp:positionV>
            <wp:extent cx="5855970" cy="7966710"/>
            <wp:effectExtent l="0" t="0" r="11430" b="381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5855970" cy="7966710"/>
                    </a:xfrm>
                    <a:prstGeom prst="rect">
                      <a:avLst/>
                    </a:prstGeom>
                    <a:noFill/>
                    <a:ln>
                      <a:noFill/>
                    </a:ln>
                  </pic:spPr>
                </pic:pic>
              </a:graphicData>
            </a:graphic>
          </wp:anchor>
        </w:drawing>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mM3NDJhNGRkNmZiZjA2OTg3ZjZiMDhkODZkNmNlMjcifQ=="/>
  </w:docVars>
  <w:rsids>
    <w:rsidRoot w:val="00000000"/>
    <w:rsid w:val="000A002F"/>
    <w:rsid w:val="066D1CD2"/>
    <w:rsid w:val="07087DC7"/>
    <w:rsid w:val="0B047B4A"/>
    <w:rsid w:val="1209283C"/>
    <w:rsid w:val="13A7230D"/>
    <w:rsid w:val="14653FD7"/>
    <w:rsid w:val="1A292824"/>
    <w:rsid w:val="1B7A3E63"/>
    <w:rsid w:val="1CA9717A"/>
    <w:rsid w:val="1ED16AAA"/>
    <w:rsid w:val="28537F15"/>
    <w:rsid w:val="37192DEE"/>
    <w:rsid w:val="44983428"/>
    <w:rsid w:val="457E304E"/>
    <w:rsid w:val="48DF3E68"/>
    <w:rsid w:val="5003209D"/>
    <w:rsid w:val="51AF618A"/>
    <w:rsid w:val="51F60E1C"/>
    <w:rsid w:val="53933BB8"/>
    <w:rsid w:val="569C0B56"/>
    <w:rsid w:val="6E3B25AB"/>
    <w:rsid w:val="77165B69"/>
    <w:rsid w:val="7A4E0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jc w:val="left"/>
    </w:pPr>
    <w:rPr>
      <w:rFonts w:ascii="Times New Roman" w:hAnsi="Times New Roman" w:eastAsia="宋体"/>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7"/>
    <w:qFormat/>
    <w:locked/>
    <w:uiPriority w:val="99"/>
    <w:rPr>
      <w:rFonts w:ascii="Calibri" w:hAnsi="Calibri" w:eastAsia="宋体" w:cs="Times New Roman"/>
      <w:sz w:val="18"/>
      <w:szCs w:val="18"/>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4545</Words>
  <Characters>5258</Characters>
  <Lines>67</Lines>
  <Paragraphs>18</Paragraphs>
  <TotalTime>1</TotalTime>
  <ScaleCrop>false</ScaleCrop>
  <LinksUpToDate>false</LinksUpToDate>
  <CharactersWithSpaces>5330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2022-06-08T06:26:05Z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