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0701-2022-QEO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085"/>
        <w:gridCol w:w="252"/>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江苏新图土地规划设计咨询有限公司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91320104MA1X2QE42R</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rFonts w:hint="eastAsia"/>
                <w:sz w:val="22"/>
                <w:szCs w:val="22"/>
              </w:rPr>
            </w:pPr>
            <w:r>
              <w:rPr>
                <w:rFonts w:hint="eastAsia"/>
                <w:sz w:val="22"/>
                <w:szCs w:val="22"/>
              </w:rPr>
              <w:t>企业体系有效人数</w:t>
            </w:r>
          </w:p>
          <w:p>
            <w:pPr>
              <w:snapToGrid w:val="0"/>
              <w:spacing w:line="0" w:lineRule="atLeast"/>
              <w:jc w:val="center"/>
              <w:rPr>
                <w:rFonts w:hint="default" w:eastAsia="宋体"/>
                <w:sz w:val="22"/>
                <w:szCs w:val="22"/>
                <w:lang w:val="en-US" w:eastAsia="zh-CN"/>
              </w:rPr>
            </w:pPr>
          </w:p>
        </w:tc>
        <w:tc>
          <w:tcPr>
            <w:tcW w:w="1976" w:type="dxa"/>
          </w:tcPr>
          <w:p>
            <w:pPr>
              <w:snapToGrid w:val="0"/>
              <w:spacing w:line="0" w:lineRule="atLeast"/>
              <w:jc w:val="center"/>
              <w:rPr>
                <w:sz w:val="22"/>
                <w:szCs w:val="22"/>
              </w:rPr>
            </w:pPr>
            <w:bookmarkStart w:id="12" w:name="体系人数"/>
            <w:r>
              <w:rPr>
                <w:sz w:val="22"/>
                <w:szCs w:val="22"/>
              </w:rPr>
              <w:t>Q:20,E:20,O:20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江苏新图土地规划设计咨询有限公司</w:t>
            </w:r>
            <w:bookmarkEnd w:id="17"/>
          </w:p>
        </w:tc>
        <w:tc>
          <w:tcPr>
            <w:tcW w:w="5013" w:type="dxa"/>
            <w:gridSpan w:val="5"/>
            <w:vMerge w:val="restart"/>
          </w:tcPr>
          <w:p>
            <w:pPr>
              <w:snapToGrid w:val="0"/>
              <w:spacing w:line="0" w:lineRule="atLeast"/>
              <w:jc w:val="left"/>
              <w:rPr>
                <w:sz w:val="22"/>
                <w:szCs w:val="22"/>
              </w:rPr>
            </w:pPr>
            <w:bookmarkStart w:id="18" w:name="审核范围"/>
            <w:r>
              <w:rPr>
                <w:sz w:val="22"/>
                <w:szCs w:val="22"/>
              </w:rPr>
              <w:t>Q：土地规划设计；土地复垦开发整理;土地调查;资质内的测绘服务;地质灾害评估；社会稳定风险评估;计算机软件的开发。</w:t>
            </w:r>
          </w:p>
          <w:p>
            <w:pPr>
              <w:snapToGrid w:val="0"/>
              <w:spacing w:line="0" w:lineRule="atLeast"/>
              <w:jc w:val="left"/>
              <w:rPr>
                <w:sz w:val="22"/>
                <w:szCs w:val="22"/>
              </w:rPr>
            </w:pPr>
            <w:r>
              <w:rPr>
                <w:sz w:val="22"/>
                <w:szCs w:val="22"/>
              </w:rPr>
              <w:t>E：土地规划设计；土地复垦开发整理;土地调查;资质内的测绘服务;地质灾害评估；社会稳定风险评估;计算机软件的开发所涉及场所的相关环境管理活动</w:t>
            </w:r>
          </w:p>
          <w:p>
            <w:pPr>
              <w:snapToGrid w:val="0"/>
              <w:spacing w:line="0" w:lineRule="atLeast"/>
              <w:jc w:val="left"/>
              <w:rPr>
                <w:sz w:val="22"/>
                <w:szCs w:val="22"/>
              </w:rPr>
            </w:pPr>
            <w:r>
              <w:rPr>
                <w:sz w:val="22"/>
                <w:szCs w:val="22"/>
              </w:rPr>
              <w:t>O：土地规划设计；土地复垦开发整理;土地调查;资质内的测绘服务;地质灾害评估；社会稳定风险评估;计算机软件的开发所涉及场所的相关职业健康安全管理活动。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南京市秦淮区永智路10号</w:t>
            </w:r>
            <w:bookmarkEnd w:id="19"/>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江苏省南京市秦淮区中山东路532-2金蝶软件园H1栋3楼308</w:t>
            </w:r>
            <w:bookmarkEnd w:id="20"/>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FF0000"/>
                <w:sz w:val="22"/>
                <w:szCs w:val="22"/>
              </w:rPr>
            </w:pPr>
            <w:r>
              <w:rPr>
                <w:rFonts w:hint="eastAsia" w:cs="Arial"/>
                <w:b/>
                <w:bCs/>
                <w:color w:val="FF0000"/>
                <w:sz w:val="22"/>
                <w:szCs w:val="16"/>
              </w:rPr>
              <w:t>Jiangsu Xintu Land Planning and Design Consulting Co., Ltd</w:t>
            </w:r>
          </w:p>
        </w:tc>
        <w:tc>
          <w:tcPr>
            <w:tcW w:w="1337" w:type="dxa"/>
            <w:gridSpan w:val="2"/>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color w:val="FF0000"/>
                <w:sz w:val="21"/>
                <w:szCs w:val="16"/>
              </w:rPr>
            </w:pPr>
            <w:r>
              <w:rPr>
                <w:rFonts w:hint="eastAsia"/>
                <w:color w:val="FF0000"/>
                <w:sz w:val="22"/>
                <w:szCs w:val="22"/>
              </w:rPr>
              <w:t xml:space="preserve"> Land planning and design; land reclamation, development and consolidation; land survey; surveying and mapping services within 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color w:val="FF0000"/>
                <w:sz w:val="21"/>
                <w:szCs w:val="16"/>
              </w:rPr>
            </w:pPr>
            <w:r>
              <w:rPr>
                <w:rFonts w:hint="eastAsia"/>
                <w:color w:val="FF0000"/>
                <w:sz w:val="21"/>
                <w:szCs w:val="16"/>
              </w:rPr>
              <w:t>Land planning and design; land reclamation, development and consolidation; land survey; surveying and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color w:val="FF0000"/>
                <w:sz w:val="22"/>
                <w:szCs w:val="16"/>
              </w:rPr>
              <w:t>No.10, Yongzhi Road, Qinhuai District, Nanjing City</w:t>
            </w: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color w:val="FF0000"/>
                <w:sz w:val="22"/>
                <w:szCs w:val="22"/>
              </w:rPr>
            </w:pPr>
            <w:r>
              <w:rPr>
                <w:rFonts w:hint="eastAsia"/>
                <w:color w:val="FF0000"/>
                <w:sz w:val="22"/>
                <w:szCs w:val="22"/>
              </w:rPr>
              <w:t>Land planning and design; land reclamation, development and consolidation; land survey; surveying and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color w:val="FF0000"/>
                <w:sz w:val="22"/>
                <w:szCs w:val="16"/>
              </w:rPr>
              <w:t>3</w:t>
            </w:r>
            <w:r>
              <w:rPr>
                <w:rFonts w:hint="eastAsia" w:cs="Arial"/>
                <w:b/>
                <w:bCs/>
                <w:color w:val="FF0000"/>
                <w:sz w:val="22"/>
                <w:szCs w:val="16"/>
              </w:rPr>
              <w:t>08, Floor 3, Building H1, Kingdee Software Park, 532-2, East Zhongshan Road, Qinhuai District, Nanjing City, Jiangsu Province</w:t>
            </w:r>
          </w:p>
        </w:tc>
        <w:tc>
          <w:tcPr>
            <w:tcW w:w="1337" w:type="dxa"/>
            <w:gridSpan w:val="2"/>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vAlign w:val="center"/>
          </w:tcPr>
          <w:p>
            <w:pPr>
              <w:snapToGrid w:val="0"/>
              <w:spacing w:line="360" w:lineRule="auto"/>
              <w:jc w:val="center"/>
              <w:rPr>
                <w:rFonts w:cs="Arial"/>
                <w:b/>
                <w:bCs/>
                <w:sz w:val="22"/>
                <w:szCs w:val="16"/>
              </w:rPr>
            </w:pPr>
            <w:r>
              <w:rPr>
                <w:rFonts w:hint="eastAsia" w:cs="Arial"/>
                <w:b/>
                <w:bCs/>
                <w:sz w:val="22"/>
                <w:szCs w:val="16"/>
              </w:rPr>
              <w:t>受审核方签章</w:t>
            </w:r>
          </w:p>
        </w:tc>
        <w:tc>
          <w:tcPr>
            <w:tcW w:w="4458" w:type="dxa"/>
            <w:gridSpan w:val="2"/>
            <w:vAlign w:val="center"/>
          </w:tcPr>
          <w:p>
            <w:pPr>
              <w:snapToGrid w:val="0"/>
              <w:spacing w:line="360" w:lineRule="auto"/>
              <w:jc w:val="center"/>
              <w:rPr>
                <w:rFonts w:cs="Arial"/>
                <w:b/>
                <w:bCs/>
                <w:sz w:val="22"/>
                <w:szCs w:val="16"/>
              </w:rPr>
            </w:pPr>
          </w:p>
          <w:p>
            <w:pPr>
              <w:snapToGrid w:val="0"/>
              <w:spacing w:line="360" w:lineRule="auto"/>
              <w:jc w:val="center"/>
              <w:rPr>
                <w:rFonts w:cs="Arial"/>
                <w:b/>
                <w:bCs/>
                <w:sz w:val="22"/>
                <w:szCs w:val="16"/>
              </w:rPr>
            </w:pPr>
          </w:p>
          <w:p>
            <w:pPr>
              <w:snapToGrid w:val="0"/>
              <w:spacing w:line="360" w:lineRule="auto"/>
              <w:jc w:val="center"/>
              <w:rPr>
                <w:rFonts w:cs="Arial"/>
                <w:b/>
                <w:bCs/>
                <w:sz w:val="22"/>
                <w:szCs w:val="16"/>
              </w:rPr>
            </w:pPr>
          </w:p>
          <w:p>
            <w:pPr>
              <w:snapToGrid w:val="0"/>
              <w:spacing w:line="360" w:lineRule="auto"/>
              <w:jc w:val="center"/>
              <w:rPr>
                <w:rFonts w:cs="Arial"/>
                <w:b/>
                <w:bCs/>
                <w:sz w:val="22"/>
                <w:szCs w:val="16"/>
              </w:rPr>
            </w:pPr>
          </w:p>
        </w:tc>
        <w:tc>
          <w:tcPr>
            <w:tcW w:w="1952" w:type="dxa"/>
            <w:gridSpan w:val="3"/>
            <w:vAlign w:val="center"/>
          </w:tcPr>
          <w:p>
            <w:pPr>
              <w:snapToGrid w:val="0"/>
              <w:spacing w:line="360" w:lineRule="auto"/>
              <w:jc w:val="center"/>
              <w:rPr>
                <w:sz w:val="22"/>
                <w:szCs w:val="22"/>
              </w:rPr>
            </w:pPr>
            <w:r>
              <w:rPr>
                <w:rFonts w:hint="eastAsia" w:cs="Arial"/>
                <w:b/>
                <w:bCs/>
                <w:sz w:val="22"/>
                <w:szCs w:val="16"/>
              </w:rPr>
              <w:t>审核组长签字</w:t>
            </w:r>
          </w:p>
        </w:tc>
        <w:tc>
          <w:tcPr>
            <w:tcW w:w="1976" w:type="dxa"/>
            <w:vAlign w:val="center"/>
          </w:tcPr>
          <w:p>
            <w:pPr>
              <w:snapToGrid w:val="0"/>
              <w:spacing w:line="360" w:lineRule="auto"/>
              <w:jc w:val="center"/>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267970</wp:posOffset>
                  </wp:positionH>
                  <wp:positionV relativeFrom="paragraph">
                    <wp:posOffset>257175</wp:posOffset>
                  </wp:positionV>
                  <wp:extent cx="473710" cy="363855"/>
                  <wp:effectExtent l="0" t="0" r="8890" b="444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5"/>
                          <a:stretch>
                            <a:fillRect/>
                          </a:stretch>
                        </pic:blipFill>
                        <pic:spPr>
                          <a:xfrm>
                            <a:off x="0" y="0"/>
                            <a:ext cx="473710" cy="363855"/>
                          </a:xfrm>
                          <a:prstGeom prst="rect">
                            <a:avLst/>
                          </a:prstGeom>
                        </pic:spPr>
                      </pic:pic>
                    </a:graphicData>
                  </a:graphic>
                </wp:anchor>
              </w:drawing>
            </w:r>
          </w:p>
        </w:tc>
      </w:tr>
    </w:tbl>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5DC10D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1419</Words>
  <Characters>2293</Characters>
  <Lines>18</Lines>
  <Paragraphs>5</Paragraphs>
  <TotalTime>1</TotalTime>
  <ScaleCrop>false</ScaleCrop>
  <LinksUpToDate>false</LinksUpToDate>
  <CharactersWithSpaces>2508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2022-05-30T07:10:59Z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