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河北首朗新能源科技有限公司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lang w:val="en-US" w:eastAsia="zh-CN"/>
              </w:rPr>
              <w:t>主要耗能设备未开展能耗测试或计算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lang w:val="en-US" w:eastAsia="zh-CN"/>
              </w:rPr>
              <w:t>查：蛋白离心机优化配置技术改造项目变更手续，缺少变更过程带来的能源消耗的识别情况，查工艺变更管理制度也没有相关要求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Theme="minorEastAsia" w:hAnsiTheme="minorEastAsia" w:eastAsiaTheme="minorEastAsia"/>
                <w:b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cs="Times New Roman" w:asciiTheme="minorEastAsia" w:hAnsiTheme="minorEastAsia" w:eastAsiaTheme="minor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技术部数据分析报告缺少对全厂的能耗分析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Theme="minorEastAsia" w:hAnsiTheme="minorEastAsia" w:eastAsiaTheme="minorEastAsia"/>
                <w:b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left="0" w:leftChars="0" w:firstLine="0" w:firstLineChars="0"/>
              <w:rPr>
                <w:rFonts w:hint="eastAsia" w:cs="Times New Roman" w:asciiTheme="minorEastAsia" w:hAnsiTheme="minorEastAsia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 w:eastAsiaTheme="minorEastAsia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未提供主要耗能设备的计量器具配备情况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r>
              <w:rPr>
                <w:rFonts w:hint="eastAsia" w:asciiTheme="minorEastAsia" w:hAnsiTheme="minorEastAsia" w:eastAsiaTheme="minorEastAsia"/>
                <w:b/>
              </w:rPr>
              <w:t>下次审核时关注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bookmarkStart w:id="12" w:name="_GoBack"/>
            <w:bookmarkEnd w:id="12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1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10BD1"/>
    <w:rsid w:val="09E037CE"/>
    <w:rsid w:val="1B8859C1"/>
    <w:rsid w:val="2A5D3C12"/>
    <w:rsid w:val="2B105DCD"/>
    <w:rsid w:val="3EEE3B71"/>
    <w:rsid w:val="41CC2386"/>
    <w:rsid w:val="445109E4"/>
    <w:rsid w:val="46BA4719"/>
    <w:rsid w:val="4712425B"/>
    <w:rsid w:val="67BC6015"/>
    <w:rsid w:val="773F2A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360" w:lineRule="auto"/>
      <w:ind w:firstLine="200" w:firstLineChars="20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样式 标题 2"/>
    <w:basedOn w:val="3"/>
    <w:qFormat/>
    <w:uiPriority w:val="0"/>
    <w:pPr>
      <w:snapToGrid w:val="0"/>
      <w:spacing w:before="120" w:after="120" w:line="240" w:lineRule="auto"/>
    </w:pPr>
    <w:rPr>
      <w:rFonts w:ascii="Calibri" w:hAnsi="Calibri" w:eastAsia="宋体" w:cs="宋体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4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2022-05-27T01:40:39Z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