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0492-2022-EnMs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河北首朗新能源科技有限公司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河北首朗新能源科技有限公司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曹妃甸工业区首钢京唐钢铁联合有限责任公司院内</w:t>
            </w:r>
            <w:bookmarkEnd w:id="6"/>
          </w:p>
        </w:tc>
        <w:tc>
          <w:tcPr>
            <w:tcW w:w="1242" w:type="dxa"/>
            <w:vMerge w:val="restart"/>
            <w:vAlign w:val="center"/>
          </w:tcPr>
          <w:p>
            <w:r>
              <w:rPr>
                <w:rFonts w:hint="eastAsia"/>
              </w:rPr>
              <w:t>邮编</w:t>
            </w:r>
          </w:p>
        </w:tc>
        <w:tc>
          <w:tcPr>
            <w:tcW w:w="1771" w:type="dxa"/>
          </w:tcPr>
          <w:p>
            <w:bookmarkStart w:id="7" w:name="注册邮编"/>
            <w:r>
              <w:t>063200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曹妃甸工业区首钢京唐钢铁联合有限责任公司院内</w:t>
            </w:r>
            <w:bookmarkEnd w:id="8"/>
          </w:p>
        </w:tc>
        <w:tc>
          <w:tcPr>
            <w:tcW w:w="1242" w:type="dxa"/>
            <w:vMerge w:val="continue"/>
            <w:vAlign w:val="center"/>
          </w:tcPr>
          <w:p/>
        </w:tc>
        <w:tc>
          <w:tcPr>
            <w:tcW w:w="1771" w:type="dxa"/>
          </w:tcPr>
          <w:p>
            <w:bookmarkStart w:id="9" w:name="办公邮编"/>
            <w:r>
              <w:t>063200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宋庆坤</w:t>
            </w:r>
            <w:bookmarkEnd w:id="10"/>
          </w:p>
        </w:tc>
        <w:tc>
          <w:tcPr>
            <w:tcW w:w="1313" w:type="dxa"/>
            <w:vAlign w:val="center"/>
          </w:tcPr>
          <w:p>
            <w:r>
              <w:rPr>
                <w:rFonts w:hint="eastAsia"/>
              </w:rPr>
              <w:t>电话.</w:t>
            </w:r>
          </w:p>
        </w:tc>
        <w:tc>
          <w:tcPr>
            <w:tcW w:w="2180" w:type="dxa"/>
            <w:vAlign w:val="center"/>
          </w:tcPr>
          <w:p>
            <w:bookmarkStart w:id="11" w:name="联系人电话"/>
            <w:r>
              <w:t>15248891566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hint="eastAsia" w:eastAsia="宋体"/>
                <w:lang w:eastAsia="zh-CN"/>
              </w:rPr>
            </w:pPr>
            <w:r>
              <w:rPr>
                <w:rFonts w:hint="eastAsia"/>
                <w:lang w:val="en-US" w:eastAsia="zh-CN"/>
              </w:rPr>
              <w:t>总经理</w:t>
            </w:r>
          </w:p>
        </w:tc>
        <w:tc>
          <w:tcPr>
            <w:tcW w:w="1552" w:type="dxa"/>
          </w:tcPr>
          <w:p>
            <w:pPr>
              <w:rPr>
                <w:rFonts w:hint="eastAsia" w:eastAsia="宋体"/>
                <w:lang w:eastAsia="zh-CN"/>
              </w:rPr>
            </w:pPr>
            <w:r>
              <w:rPr>
                <w:rFonts w:hint="eastAsia"/>
                <w:lang w:val="en-US" w:eastAsia="zh-CN"/>
              </w:rPr>
              <w:t>宋庆坤</w:t>
            </w:r>
          </w:p>
        </w:tc>
        <w:tc>
          <w:tcPr>
            <w:tcW w:w="1313" w:type="dxa"/>
            <w:vAlign w:val="center"/>
          </w:tcPr>
          <w:p>
            <w:r>
              <w:rPr>
                <w:rFonts w:hint="eastAsia"/>
              </w:rPr>
              <w:t>管理者代表</w:t>
            </w:r>
          </w:p>
        </w:tc>
        <w:tc>
          <w:tcPr>
            <w:tcW w:w="2180" w:type="dxa"/>
          </w:tcPr>
          <w:p>
            <w:bookmarkStart w:id="13" w:name="管理者代表"/>
            <w:r>
              <w:t>宋庆坤</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w:t>
            </w:r>
            <w:r>
              <w:rPr>
                <w:rFonts w:hint="eastAsia"/>
              </w:rPr>
              <w:sym w:font="Wingdings 2" w:char="0052"/>
            </w:r>
            <w:r>
              <w:rPr>
                <w:rFonts w:hint="eastAsia"/>
                <w:lang w:val="en-US" w:eastAsia="zh-CN"/>
              </w:rPr>
              <w:t>四班两倒</w:t>
            </w:r>
            <w:r>
              <w:rPr>
                <w:rFonts w:hint="eastAsia"/>
              </w:rPr>
              <w:t>□其他</w:t>
            </w:r>
          </w:p>
          <w:p>
            <w:r>
              <w:rPr>
                <w:rFonts w:hint="eastAsia"/>
                <w:highlight w:val="cyan"/>
              </w:rPr>
              <w:t>（审核相应地考虑了多班次操作，并且有代表性地审核了所有班次。）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58" w:type="dxa"/>
                  <w:shd w:val="clear" w:color="auto" w:fill="auto"/>
                </w:tcPr>
                <w:p>
                  <w:pPr>
                    <w:tabs>
                      <w:tab w:val="left" w:pos="360"/>
                    </w:tabs>
                    <w:ind w:left="360" w:hanging="360"/>
                    <w:rPr>
                      <w:rFonts w:ascii="宋体"/>
                      <w:color w:val="000000"/>
                      <w:szCs w:val="21"/>
                    </w:rPr>
                  </w:pPr>
                </w:p>
                <w:p>
                  <w:pPr>
                    <w:tabs>
                      <w:tab w:val="left" w:pos="360"/>
                    </w:tabs>
                    <w:ind w:left="360" w:hanging="360"/>
                    <w:rPr>
                      <w:rFonts w:ascii="宋体"/>
                      <w:color w:val="000000"/>
                      <w:szCs w:val="21"/>
                    </w:rPr>
                  </w:pPr>
                  <w:r>
                    <w:drawing>
                      <wp:inline distT="0" distB="0" distL="0" distR="0">
                        <wp:extent cx="4872990" cy="6076950"/>
                        <wp:effectExtent l="0" t="0" r="3810" b="635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6"/>
                                <a:stretch>
                                  <a:fillRect/>
                                </a:stretch>
                              </pic:blipFill>
                              <pic:spPr>
                                <a:xfrm>
                                  <a:off x="0" y="0"/>
                                  <a:ext cx="4876323" cy="6076950"/>
                                </a:xfrm>
                                <a:prstGeom prst="rect">
                                  <a:avLst/>
                                </a:prstGeom>
                              </pic:spPr>
                            </pic:pic>
                          </a:graphicData>
                        </a:graphic>
                      </wp:inline>
                    </w:drawing>
                  </w:r>
                </w:p>
              </w:tc>
            </w:tr>
          </w:tbl>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747"/>
        <w:gridCol w:w="2995"/>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370" w:type="dxa"/>
            <w:gridSpan w:val="2"/>
          </w:tcPr>
          <w:p>
            <w:r>
              <w:rPr>
                <w:rFonts w:hint="eastAsia"/>
              </w:rPr>
              <w:t>审核日期</w:t>
            </w:r>
          </w:p>
        </w:tc>
        <w:tc>
          <w:tcPr>
            <w:tcW w:w="8093" w:type="dxa"/>
            <w:gridSpan w:val="3"/>
            <w:tcMar>
              <w:left w:w="113" w:type="dxa"/>
            </w:tcMar>
          </w:tcPr>
          <w:p>
            <w:bookmarkStart w:id="14" w:name="审核日期"/>
            <w:r>
              <w:rPr>
                <w:rFonts w:hint="eastAsia"/>
              </w:rPr>
              <w:t>2022年05月25日 上午至2022年05月27日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370" w:type="dxa"/>
            <w:gridSpan w:val="2"/>
          </w:tcPr>
          <w:p>
            <w:r>
              <w:rPr>
                <w:rFonts w:hint="eastAsia"/>
              </w:rPr>
              <w:t>审核目的</w:t>
            </w:r>
          </w:p>
        </w:tc>
        <w:tc>
          <w:tcPr>
            <w:tcW w:w="8093"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Add1"/>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61" w:hRule="exact"/>
        </w:trPr>
        <w:tc>
          <w:tcPr>
            <w:tcW w:w="1370" w:type="dxa"/>
            <w:gridSpan w:val="2"/>
          </w:tcPr>
          <w:p>
            <w:r>
              <w:rPr>
                <w:rFonts w:hint="eastAsia"/>
              </w:rPr>
              <w:t>审核准则</w:t>
            </w:r>
          </w:p>
          <w:p/>
        </w:tc>
        <w:tc>
          <w:tcPr>
            <w:tcW w:w="8093"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 xml:space="preserve">/ISO 9001:2015  </w:t>
            </w:r>
            <w:bookmarkStart w:id="20" w:name="QJ勾选"/>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 xml:space="preserve">/ISO 14001:2015 </w:t>
            </w:r>
            <w:bookmarkStart w:id="22" w:name="S勾选Add1"/>
            <w:r>
              <w:rPr>
                <w:rFonts w:hint="eastAsia"/>
                <w:lang w:val="de-DE"/>
              </w:rPr>
              <w:t>□</w:t>
            </w:r>
            <w:bookmarkEnd w:id="22"/>
            <w:r>
              <w:rPr>
                <w:rFonts w:hint="eastAsia"/>
              </w:rPr>
              <w:t>GB/T 45001-2020/</w:t>
            </w:r>
            <w:r>
              <w:rPr>
                <w:rFonts w:hint="eastAsia"/>
                <w:lang w:val="de-DE"/>
              </w:rPr>
              <w:t>ISO45001：2018</w:t>
            </w:r>
          </w:p>
          <w:p>
            <w:pPr>
              <w:rPr>
                <w:rFonts w:ascii="宋体" w:hAnsi="宋体"/>
                <w:b/>
                <w:sz w:val="21"/>
                <w:szCs w:val="21"/>
              </w:rPr>
            </w:pPr>
            <w:r>
              <w:rPr>
                <w:rFonts w:hint="eastAsia" w:ascii="宋体" w:hAnsi="宋体"/>
                <w:b/>
                <w:sz w:val="21"/>
                <w:szCs w:val="21"/>
              </w:rPr>
              <w:sym w:font="Wingdings 2" w:char="0052"/>
            </w:r>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sym w:font="Wingdings 2" w:char="0052"/>
            </w:r>
            <w:r>
              <w:rPr>
                <w:rFonts w:hint="eastAsia" w:ascii="宋体" w:hAnsi="宋体"/>
                <w:b/>
                <w:sz w:val="21"/>
                <w:szCs w:val="21"/>
                <w:lang w:eastAsia="zh-CN"/>
              </w:rPr>
              <w:t>RB</w:t>
            </w:r>
            <w:r>
              <w:rPr>
                <w:rFonts w:hint="eastAsia" w:ascii="宋体" w:hAnsi="宋体"/>
                <w:b/>
                <w:sz w:val="21"/>
                <w:szCs w:val="21"/>
                <w:lang w:val="en-US" w:eastAsia="zh-CN"/>
              </w:rPr>
              <w:t>/</w:t>
            </w:r>
            <w:r>
              <w:rPr>
                <w:rFonts w:hint="eastAsia" w:ascii="宋体" w:hAnsi="宋体"/>
                <w:b/>
                <w:sz w:val="21"/>
                <w:szCs w:val="21"/>
                <w:lang w:eastAsia="zh-CN"/>
              </w:rPr>
              <w:t>T 114-2014 《能源管理体系 纯碱、焦化、橡塑制品、制药等化工企业认证要求》</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370" w:type="dxa"/>
            <w:gridSpan w:val="2"/>
            <w:vAlign w:val="center"/>
          </w:tcPr>
          <w:p>
            <w:r>
              <w:rPr>
                <w:rFonts w:hint="eastAsia"/>
              </w:rPr>
              <w:t>审核方式</w:t>
            </w:r>
          </w:p>
        </w:tc>
        <w:tc>
          <w:tcPr>
            <w:tcW w:w="8093"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370" w:type="dxa"/>
            <w:gridSpan w:val="2"/>
          </w:tcPr>
          <w:p>
            <w:r>
              <w:rPr>
                <w:rFonts w:hint="eastAsia" w:ascii="宋体" w:hAnsi="宋体" w:cs="宋体"/>
                <w:color w:val="000000"/>
                <w:kern w:val="0"/>
                <w:szCs w:val="21"/>
              </w:rPr>
              <w:t>审核方法</w:t>
            </w:r>
          </w:p>
        </w:tc>
        <w:tc>
          <w:tcPr>
            <w:tcW w:w="8093"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370" w:type="dxa"/>
            <w:gridSpan w:val="2"/>
          </w:tcPr>
          <w:p>
            <w:r>
              <w:rPr>
                <w:rFonts w:hint="eastAsia"/>
              </w:rPr>
              <w:t>审核类型</w:t>
            </w:r>
          </w:p>
        </w:tc>
        <w:tc>
          <w:tcPr>
            <w:tcW w:w="8093" w:type="dxa"/>
            <w:gridSpan w:val="3"/>
            <w:tcMar>
              <w:left w:w="113" w:type="dxa"/>
            </w:tcMar>
          </w:tcPr>
          <w:p>
            <w:bookmarkStart w:id="23" w:name="初审Add1"/>
            <w:r>
              <w:rPr>
                <w:rFonts w:hint="eastAsia"/>
              </w:rPr>
              <w:t>■</w:t>
            </w:r>
            <w:bookmarkEnd w:id="23"/>
            <w:r>
              <w:rPr>
                <w:rFonts w:hint="eastAsia"/>
              </w:rPr>
              <w:t>初审二阶段</w:t>
            </w:r>
            <w:bookmarkStart w:id="24" w:name="监督勾选"/>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370"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8093" w:type="dxa"/>
            <w:gridSpan w:val="3"/>
            <w:tcMar>
              <w:left w:w="113" w:type="dxa"/>
            </w:tcMar>
            <w:vAlign w:val="top"/>
          </w:tcPr>
          <w:p>
            <w:pPr>
              <w:rPr>
                <w:rFonts w:ascii="宋体"/>
                <w:b/>
                <w:color w:val="0000FF"/>
                <w:szCs w:val="21"/>
              </w:rPr>
            </w:pPr>
            <w:r>
              <w:rPr>
                <w:rFonts w:hint="eastAsia" w:ascii="宋体"/>
                <w:b/>
                <w:color w:val="0000FF"/>
                <w:szCs w:val="21"/>
                <w:lang w:val="en-US" w:eastAsia="zh-CN"/>
              </w:rPr>
              <w:t>河北省石家庄市/湖北省荆门市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370" w:type="dxa"/>
            <w:gridSpan w:val="2"/>
          </w:tcPr>
          <w:p>
            <w:pPr>
              <w:rPr>
                <w:rFonts w:ascii="宋体"/>
                <w:b/>
                <w:color w:val="0000FF"/>
                <w:szCs w:val="21"/>
              </w:rPr>
            </w:pPr>
            <w:r>
              <w:rPr>
                <w:rFonts w:hint="eastAsia" w:ascii="宋体"/>
                <w:b/>
                <w:color w:val="0000FF"/>
                <w:szCs w:val="21"/>
              </w:rPr>
              <w:t>远程审核方式</w:t>
            </w:r>
          </w:p>
        </w:tc>
        <w:tc>
          <w:tcPr>
            <w:tcW w:w="8093"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370" w:type="dxa"/>
            <w:gridSpan w:val="2"/>
          </w:tcPr>
          <w:p>
            <w:pPr>
              <w:rPr>
                <w:rFonts w:ascii="宋体"/>
                <w:b/>
                <w:color w:val="0000FF"/>
                <w:szCs w:val="21"/>
              </w:rPr>
            </w:pPr>
            <w:r>
              <w:rPr>
                <w:rFonts w:hint="eastAsia" w:ascii="宋体"/>
                <w:b/>
                <w:color w:val="0000FF"/>
                <w:szCs w:val="21"/>
              </w:rPr>
              <w:t>信息安全的控制</w:t>
            </w:r>
          </w:p>
        </w:tc>
        <w:tc>
          <w:tcPr>
            <w:tcW w:w="8093"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370" w:type="dxa"/>
            <w:gridSpan w:val="2"/>
          </w:tcPr>
          <w:p>
            <w:pPr>
              <w:rPr>
                <w:rFonts w:ascii="宋体"/>
                <w:b/>
                <w:color w:val="0000FF"/>
                <w:szCs w:val="21"/>
              </w:rPr>
            </w:pPr>
            <w:r>
              <w:rPr>
                <w:rFonts w:hint="eastAsia" w:ascii="宋体"/>
                <w:b/>
                <w:color w:val="0000FF"/>
                <w:szCs w:val="21"/>
              </w:rPr>
              <w:t>远程审核资源</w:t>
            </w:r>
          </w:p>
        </w:tc>
        <w:tc>
          <w:tcPr>
            <w:tcW w:w="8093"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变性燃料乙醇和乙醇梭菌蛋白的生产和服务所涉及的能源管理活动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2.3</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70" w:type="dxa"/>
            <w:gridSpan w:val="2"/>
            <w:vAlign w:val="center"/>
          </w:tcPr>
          <w:p>
            <w:r>
              <w:rPr>
                <w:rFonts w:hint="eastAsia"/>
              </w:rPr>
              <w:t>不适用ISO9001的条款</w:t>
            </w:r>
          </w:p>
        </w:tc>
        <w:tc>
          <w:tcPr>
            <w:tcW w:w="8093"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70" w:type="dxa"/>
            <w:gridSpan w:val="2"/>
            <w:vAlign w:val="center"/>
          </w:tcPr>
          <w:p>
            <w:r>
              <w:rPr>
                <w:rFonts w:hint="eastAsia"/>
              </w:rPr>
              <w:t>不适用的理由（可多选）</w:t>
            </w:r>
          </w:p>
        </w:tc>
        <w:tc>
          <w:tcPr>
            <w:tcW w:w="8093"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70" w:type="dxa"/>
            <w:gridSpan w:val="2"/>
            <w:vAlign w:val="center"/>
          </w:tcPr>
          <w:p>
            <w:r>
              <w:rPr>
                <w:rFonts w:hint="eastAsia"/>
              </w:rPr>
              <w:t>体系文件实施时间</w:t>
            </w:r>
          </w:p>
        </w:tc>
        <w:tc>
          <w:tcPr>
            <w:tcW w:w="2995"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70" w:type="dxa"/>
            <w:gridSpan w:val="2"/>
            <w:vAlign w:val="center"/>
          </w:tcPr>
          <w:p>
            <w:r>
              <w:rPr>
                <w:rFonts w:hint="eastAsia"/>
              </w:rPr>
              <w:t>上次审核时间</w:t>
            </w:r>
          </w:p>
        </w:tc>
        <w:tc>
          <w:tcPr>
            <w:tcW w:w="2995"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929"/>
        <w:gridCol w:w="610"/>
        <w:gridCol w:w="1930"/>
        <w:gridCol w:w="18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929" w:type="dxa"/>
            <w:shd w:val="clear" w:color="auto" w:fill="F3F3F3"/>
            <w:tcMar>
              <w:left w:w="57" w:type="dxa"/>
              <w:right w:w="57" w:type="dxa"/>
            </w:tcMar>
          </w:tcPr>
          <w:p>
            <w:r>
              <w:rPr>
                <w:rFonts w:hint="eastAsia"/>
              </w:rPr>
              <w:t>经营场所的地址</w:t>
            </w:r>
          </w:p>
          <w:p>
            <w:r>
              <w:rPr>
                <w:rFonts w:hint="eastAsia"/>
              </w:rPr>
              <w:t>（多现场和临时现场）</w:t>
            </w:r>
          </w:p>
        </w:tc>
        <w:tc>
          <w:tcPr>
            <w:tcW w:w="610" w:type="dxa"/>
            <w:shd w:val="clear" w:color="auto" w:fill="F3F3F3"/>
            <w:tcMar>
              <w:left w:w="57" w:type="dxa"/>
              <w:right w:w="57" w:type="dxa"/>
            </w:tcMar>
          </w:tcPr>
          <w:p>
            <w:r>
              <w:rPr>
                <w:rFonts w:hint="eastAsia"/>
              </w:rPr>
              <w:t>员工人数</w:t>
            </w:r>
          </w:p>
        </w:tc>
        <w:tc>
          <w:tcPr>
            <w:tcW w:w="193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84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河北首朗新能源科技有限公司</w:t>
            </w:r>
            <w:r>
              <w:rPr>
                <w:rFonts w:hint="eastAsia"/>
                <w:sz w:val="21"/>
                <w:szCs w:val="21"/>
                <w:lang w:val="en-US" w:eastAsia="zh-CN"/>
              </w:rPr>
              <w:t>/</w:t>
            </w:r>
            <w:r>
              <w:rPr>
                <w:sz w:val="21"/>
                <w:szCs w:val="21"/>
              </w:rPr>
              <w:t>曹妃甸工业区首钢京唐钢铁联合有限责任公司院内</w:t>
            </w:r>
          </w:p>
        </w:tc>
        <w:tc>
          <w:tcPr>
            <w:tcW w:w="1929"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曹妃甸工业区首钢京唐钢铁联合有限责任公司院内</w:t>
            </w:r>
          </w:p>
        </w:tc>
        <w:tc>
          <w:tcPr>
            <w:tcW w:w="610"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132</w:t>
            </w:r>
          </w:p>
        </w:tc>
        <w:tc>
          <w:tcPr>
            <w:tcW w:w="1930" w:type="dxa"/>
            <w:vAlign w:val="center"/>
          </w:tcPr>
          <w:p>
            <w:pPr>
              <w:pStyle w:val="20"/>
              <w:rPr>
                <w:rFonts w:ascii="Times New Roman" w:hAnsi="Times New Roman" w:eastAsia="黑体" w:cs="Arial"/>
                <w:kern w:val="2"/>
                <w:sz w:val="21"/>
                <w:szCs w:val="21"/>
                <w:lang w:val="en-US" w:eastAsia="ja-JP" w:bidi="ar-SA"/>
              </w:rPr>
            </w:pPr>
            <w:r>
              <w:t>变性燃料乙醇和乙醇梭菌蛋白的生产和服务所涉及的能源管理活动</w:t>
            </w:r>
          </w:p>
        </w:tc>
        <w:tc>
          <w:tcPr>
            <w:tcW w:w="1841" w:type="dxa"/>
            <w:vAlign w:val="center"/>
          </w:tcPr>
          <w:p>
            <w:pPr>
              <w:spacing w:before="40" w:after="40"/>
              <w:rPr>
                <w:rFonts w:hint="eastAsia" w:ascii="宋体" w:hAnsi="宋体"/>
                <w:b/>
                <w:sz w:val="21"/>
                <w:szCs w:val="21"/>
              </w:rPr>
            </w:pPr>
            <w:r>
              <w:rPr>
                <w:rFonts w:ascii="宋体" w:hAnsi="宋体"/>
                <w:b/>
                <w:sz w:val="21"/>
                <w:szCs w:val="21"/>
              </w:rPr>
              <w:t>GB/T 2</w:t>
            </w:r>
            <w:r>
              <w:rPr>
                <w:rFonts w:hint="eastAsia" w:ascii="宋体" w:hAnsi="宋体"/>
                <w:b/>
                <w:sz w:val="21"/>
                <w:szCs w:val="21"/>
              </w:rPr>
              <w:t>3331-2020</w:t>
            </w:r>
          </w:p>
          <w:p>
            <w:pPr>
              <w:spacing w:before="40" w:after="40"/>
              <w:rPr>
                <w:rFonts w:hint="eastAsia" w:ascii="宋体" w:hAnsi="宋体" w:eastAsia="宋体" w:cs="Times New Roman"/>
                <w:b/>
                <w:kern w:val="2"/>
                <w:sz w:val="21"/>
                <w:szCs w:val="21"/>
                <w:lang w:val="en-US" w:eastAsia="ja-JP" w:bidi="ar-SA"/>
              </w:rPr>
            </w:pPr>
            <w:r>
              <w:rPr>
                <w:rFonts w:hint="eastAsia" w:ascii="宋体" w:hAnsi="宋体"/>
                <w:b/>
                <w:sz w:val="21"/>
                <w:szCs w:val="21"/>
                <w:lang w:eastAsia="zh-CN"/>
              </w:rPr>
              <w:t>RB</w:t>
            </w:r>
            <w:r>
              <w:rPr>
                <w:rFonts w:hint="eastAsia" w:ascii="宋体" w:hAnsi="宋体"/>
                <w:b/>
                <w:sz w:val="21"/>
                <w:szCs w:val="21"/>
                <w:lang w:val="en-US" w:eastAsia="zh-CN"/>
              </w:rPr>
              <w:t>/</w:t>
            </w:r>
            <w:r>
              <w:rPr>
                <w:rFonts w:hint="eastAsia" w:ascii="宋体" w:hAnsi="宋体"/>
                <w:b/>
                <w:sz w:val="21"/>
                <w:szCs w:val="21"/>
                <w:lang w:eastAsia="zh-CN"/>
              </w:rPr>
              <w:t>T 114-2014</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929" w:type="dxa"/>
            <w:vAlign w:val="center"/>
          </w:tcPr>
          <w:p>
            <w:pPr>
              <w:rPr>
                <w:lang w:eastAsia="ja-JP"/>
              </w:rPr>
            </w:pPr>
          </w:p>
        </w:tc>
        <w:tc>
          <w:tcPr>
            <w:tcW w:w="610" w:type="dxa"/>
            <w:vAlign w:val="center"/>
          </w:tcPr>
          <w:p>
            <w:pPr>
              <w:rPr>
                <w:lang w:eastAsia="ja-JP"/>
              </w:rPr>
            </w:pPr>
          </w:p>
        </w:tc>
        <w:tc>
          <w:tcPr>
            <w:tcW w:w="1930" w:type="dxa"/>
            <w:vAlign w:val="center"/>
          </w:tcPr>
          <w:p>
            <w:pPr>
              <w:rPr>
                <w:lang w:eastAsia="ja-JP"/>
              </w:rPr>
            </w:pPr>
          </w:p>
        </w:tc>
        <w:tc>
          <w:tcPr>
            <w:tcW w:w="18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929" w:type="dxa"/>
            <w:vAlign w:val="center"/>
          </w:tcPr>
          <w:p>
            <w:pPr>
              <w:rPr>
                <w:lang w:eastAsia="ja-JP"/>
              </w:rPr>
            </w:pPr>
          </w:p>
        </w:tc>
        <w:tc>
          <w:tcPr>
            <w:tcW w:w="610" w:type="dxa"/>
            <w:vAlign w:val="center"/>
          </w:tcPr>
          <w:p>
            <w:pPr>
              <w:rPr>
                <w:lang w:eastAsia="ja-JP"/>
              </w:rPr>
            </w:pPr>
          </w:p>
        </w:tc>
        <w:tc>
          <w:tcPr>
            <w:tcW w:w="1930" w:type="dxa"/>
            <w:vAlign w:val="center"/>
          </w:tcPr>
          <w:p>
            <w:pPr>
              <w:rPr>
                <w:lang w:eastAsia="ja-JP"/>
              </w:rPr>
            </w:pPr>
          </w:p>
        </w:tc>
        <w:tc>
          <w:tcPr>
            <w:tcW w:w="18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929" w:type="dxa"/>
            <w:vAlign w:val="center"/>
          </w:tcPr>
          <w:p>
            <w:pPr>
              <w:rPr>
                <w:lang w:eastAsia="ja-JP"/>
              </w:rPr>
            </w:pPr>
          </w:p>
        </w:tc>
        <w:tc>
          <w:tcPr>
            <w:tcW w:w="610" w:type="dxa"/>
            <w:vAlign w:val="center"/>
          </w:tcPr>
          <w:p>
            <w:pPr>
              <w:rPr>
                <w:lang w:eastAsia="ja-JP"/>
              </w:rPr>
            </w:pPr>
          </w:p>
        </w:tc>
        <w:tc>
          <w:tcPr>
            <w:tcW w:w="1930" w:type="dxa"/>
            <w:vAlign w:val="center"/>
          </w:tcPr>
          <w:p>
            <w:pPr>
              <w:rPr>
                <w:lang w:eastAsia="ja-JP"/>
              </w:rPr>
            </w:pPr>
          </w:p>
        </w:tc>
        <w:tc>
          <w:tcPr>
            <w:tcW w:w="18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929" w:type="dxa"/>
            <w:vAlign w:val="center"/>
          </w:tcPr>
          <w:p>
            <w:pPr>
              <w:rPr>
                <w:lang w:eastAsia="ja-JP"/>
              </w:rPr>
            </w:pPr>
          </w:p>
        </w:tc>
        <w:tc>
          <w:tcPr>
            <w:tcW w:w="610" w:type="dxa"/>
            <w:vAlign w:val="center"/>
          </w:tcPr>
          <w:p>
            <w:pPr>
              <w:rPr>
                <w:lang w:eastAsia="ja-JP"/>
              </w:rPr>
            </w:pPr>
          </w:p>
        </w:tc>
        <w:tc>
          <w:tcPr>
            <w:tcW w:w="1930" w:type="dxa"/>
            <w:vAlign w:val="center"/>
          </w:tcPr>
          <w:p>
            <w:pPr>
              <w:rPr>
                <w:lang w:eastAsia="ja-JP"/>
              </w:rPr>
            </w:pPr>
          </w:p>
        </w:tc>
        <w:tc>
          <w:tcPr>
            <w:tcW w:w="184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宋翠琳</w:t>
            </w:r>
          </w:p>
        </w:tc>
        <w:tc>
          <w:tcPr>
            <w:tcW w:w="1089" w:type="dxa"/>
            <w:vAlign w:val="center"/>
          </w:tcPr>
          <w:p>
            <w:r>
              <w:t>组员</w:t>
            </w:r>
          </w:p>
        </w:tc>
        <w:tc>
          <w:tcPr>
            <w:tcW w:w="711" w:type="dxa"/>
            <w:vAlign w:val="center"/>
          </w:tcPr>
          <w:p>
            <w:r>
              <w:t>女</w:t>
            </w:r>
          </w:p>
        </w:tc>
        <w:tc>
          <w:tcPr>
            <w:tcW w:w="3870" w:type="dxa"/>
            <w:vAlign w:val="center"/>
          </w:tcPr>
          <w:p>
            <w:r>
              <w:t>2022-N1EnMS-1082241</w:t>
            </w:r>
          </w:p>
        </w:tc>
        <w:tc>
          <w:tcPr>
            <w:tcW w:w="2179" w:type="dxa"/>
            <w:vAlign w:val="center"/>
          </w:tcPr>
          <w:p>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rPr>
        <w:sym w:font="Wingdings 2" w:char="0052"/>
      </w:r>
      <w:r>
        <w:rPr>
          <w:rFonts w:hint="eastAsia"/>
        </w:rPr>
        <w:t>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1"/>
                <w:szCs w:val="21"/>
                <w:lang w:eastAsia="zh-CN"/>
              </w:rPr>
              <w:drawing>
                <wp:inline distT="0" distB="0" distL="114300" distR="114300">
                  <wp:extent cx="982345" cy="319405"/>
                  <wp:effectExtent l="0" t="0" r="0" b="10795"/>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7"/>
                          <a:stretch>
                            <a:fillRect/>
                          </a:stretch>
                        </pic:blipFill>
                        <pic:spPr>
                          <a:xfrm>
                            <a:off x="0" y="0"/>
                            <a:ext cx="982345" cy="319405"/>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pStyle w:val="2"/>
        <w:rPr>
          <w:shd w:val="clear" w:color="FFFFFF" w:fill="D9D9D9"/>
        </w:rPr>
      </w:pPr>
    </w:p>
    <w:p>
      <w:pPr>
        <w:pStyle w:val="2"/>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sym w:font="Wingdings 2" w:char="0052"/>
            </w: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生产/服务过程</w:t>
            </w:r>
            <w:r>
              <w:rPr>
                <w:rFonts w:hint="eastAsia"/>
              </w:rPr>
              <w:sym w:font="Wingdings 2" w:char="00A3"/>
            </w:r>
            <w:r>
              <w:rPr>
                <w:rFonts w:hint="eastAsia"/>
              </w:rPr>
              <w:t>能效监测</w:t>
            </w:r>
            <w:r>
              <w:rPr>
                <w:rFonts w:hint="eastAsia"/>
              </w:rPr>
              <w:sym w:font="Wingdings 2" w:char="0052"/>
            </w:r>
            <w:r>
              <w:rPr>
                <w:rFonts w:hint="eastAsia"/>
              </w:rPr>
              <w:t>设备维修</w:t>
            </w:r>
            <w:r>
              <w:rPr>
                <w:rFonts w:hint="eastAsia"/>
              </w:rPr>
              <w:sym w:font="Wingdings 2" w:char="0052"/>
            </w:r>
            <w:r>
              <w:rPr>
                <w:rFonts w:hint="eastAsia"/>
              </w:rPr>
              <w:t>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color w:val="000000"/>
                <w:szCs w:val="18"/>
              </w:rPr>
              <w:t>遵守法规  清洁生产  创新改造  提高能效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81"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技术部 </w:t>
            </w:r>
            <w:r>
              <w:rPr>
                <w:rFonts w:hint="eastAsia"/>
              </w:rPr>
              <w:sym w:font="Wingdings 2" w:char="0052"/>
            </w:r>
            <w:r>
              <w:rPr>
                <w:rFonts w:hint="eastAsia"/>
              </w:rPr>
              <w:t>能源管理团队</w:t>
            </w:r>
            <w:r>
              <w:rPr>
                <w:rFonts w:hint="eastAsia"/>
                <w:lang w:eastAsia="zh-CN"/>
              </w:rPr>
              <w:t>——</w:t>
            </w:r>
            <w:r>
              <w:rPr>
                <w:rFonts w:hint="eastAsia"/>
                <w:lang w:val="en-US" w:eastAsia="zh-CN"/>
              </w:rPr>
              <w:t>生产运营部</w:t>
            </w:r>
          </w:p>
          <w:p>
            <w:pPr>
              <w:shd w:val="clear" w:color="auto" w:fill="EBF1DE" w:themeFill="accent3" w:themeFillTint="32"/>
              <w:rPr>
                <w:rFonts w:hint="default" w:eastAsia="宋体"/>
                <w:lang w:val="en-US" w:eastAsia="zh-CN"/>
              </w:rPr>
            </w:pPr>
            <w:r>
              <w:rPr>
                <w:rFonts w:hint="eastAsia"/>
              </w:rPr>
              <w:t>能源管理团队负责人是——</w:t>
            </w:r>
            <w:r>
              <w:rPr>
                <w:rFonts w:hint="eastAsia"/>
                <w:lang w:val="en-US" w:eastAsia="zh-CN"/>
              </w:rPr>
              <w:t>莫志明；</w:t>
            </w:r>
            <w:r>
              <w:rPr>
                <w:rFonts w:hint="eastAsia"/>
              </w:rPr>
              <w:t>管理者代表</w:t>
            </w:r>
            <w:r>
              <w:rPr>
                <w:rFonts w:hint="eastAsia"/>
                <w:lang w:eastAsia="zh-CN"/>
              </w:rPr>
              <w:t>——</w:t>
            </w:r>
            <w:r>
              <w:rPr>
                <w:rFonts w:hint="eastAsia"/>
                <w:highlight w:val="none"/>
                <w:lang w:val="en-US" w:eastAsia="zh-CN"/>
              </w:rPr>
              <w:t>宋庆坤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sym w:font="Wingdings 2" w:char="0052"/>
            </w:r>
            <w:r>
              <w:rPr>
                <w:rFonts w:hint="eastAsia"/>
              </w:rPr>
              <w:t>蒸汽</w:t>
            </w:r>
            <w:r>
              <w:rPr>
                <w:rFonts w:hint="eastAsia"/>
              </w:rPr>
              <w:sym w:font="Wingdings 2" w:char="0052"/>
            </w:r>
            <w:r>
              <w:rPr>
                <w:rFonts w:hint="eastAsia"/>
                <w:lang w:val="en-US" w:eastAsia="zh-CN"/>
              </w:rPr>
              <w:t>煤</w:t>
            </w:r>
            <w:r>
              <w:rPr>
                <w:rFonts w:hint="eastAsia"/>
              </w:rPr>
              <w:t>气□燃料油□燃料气</w:t>
            </w:r>
            <w:r>
              <w:rPr>
                <w:rFonts w:hint="eastAsia"/>
              </w:rPr>
              <w:sym w:font="Wingdings 2" w:char="0052"/>
            </w:r>
            <w:r>
              <w:rPr>
                <w:rFonts w:hint="eastAsia"/>
              </w:rPr>
              <w:t>电力</w:t>
            </w:r>
            <w:r>
              <w:rPr>
                <w:rFonts w:hint="eastAsia"/>
              </w:rPr>
              <w:sym w:font="Wingdings 2" w:char="0052"/>
            </w:r>
            <w:r>
              <w:rPr>
                <w:rFonts w:hint="eastAsia"/>
              </w:rPr>
              <w:t>氮气</w:t>
            </w:r>
            <w:r>
              <w:rPr>
                <w:rFonts w:hint="eastAsia"/>
              </w:rPr>
              <w:sym w:font="Wingdings 2" w:char="0052"/>
            </w:r>
            <w:r>
              <w:rPr>
                <w:rFonts w:hint="eastAsia"/>
              </w:rPr>
              <w:t>风</w:t>
            </w:r>
            <w:r>
              <w:rPr>
                <w:rFonts w:hint="eastAsia"/>
              </w:rPr>
              <w:sym w:font="Wingdings 2" w:char="0052"/>
            </w:r>
            <w:r>
              <w:rPr>
                <w:rFonts w:hint="eastAsia"/>
              </w:rPr>
              <w:t>新鲜水</w:t>
            </w:r>
            <w:r>
              <w:rPr>
                <w:rFonts w:hint="eastAsia"/>
              </w:rPr>
              <w:sym w:font="Wingdings 2" w:char="0052"/>
            </w:r>
            <w:r>
              <w:rPr>
                <w:rFonts w:hint="eastAsia"/>
              </w:rPr>
              <w:t>各种品质水</w:t>
            </w:r>
          </w:p>
          <w:p>
            <w:pPr>
              <w:jc w:val="left"/>
              <w:rPr>
                <w:rFonts w:hint="default" w:eastAsia="宋体"/>
                <w:lang w:val="en-US" w:eastAsia="zh-CN"/>
              </w:rPr>
            </w:pPr>
            <w:r>
              <w:rPr>
                <w:rFonts w:hint="eastAsia"/>
              </w:rPr>
              <w:sym w:font="Wingdings 2" w:char="00A3"/>
            </w:r>
            <w:r>
              <w:rPr>
                <w:rFonts w:hint="eastAsia"/>
              </w:rPr>
              <w:t>其他</w:t>
            </w:r>
            <w:r>
              <w:rPr>
                <w:rFonts w:hint="eastAsia"/>
                <w:lang w:val="en-US" w:eastAsia="zh-CN"/>
              </w:rPr>
              <w:t>—</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default" w:eastAsia="宋体"/>
                <w:lang w:val="en-US" w:eastAsia="zh-CN"/>
              </w:rPr>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能源消费总量□单位产品蒸汽消耗□单位产品燃料气消耗□加热炉热效率</w:t>
            </w:r>
            <w:r>
              <w:rPr>
                <w:rFonts w:hint="eastAsia"/>
              </w:rPr>
              <w:sym w:font="Wingdings 2" w:char="0052"/>
            </w:r>
            <w:r>
              <w:rPr>
                <w:rFonts w:hint="eastAsia"/>
              </w:rPr>
              <w:t>其他</w:t>
            </w:r>
            <w:r>
              <w:rPr>
                <w:rFonts w:hint="eastAsia"/>
                <w:lang w:eastAsia="zh-CN"/>
              </w:rPr>
              <w:t>，</w:t>
            </w:r>
            <w:r>
              <w:rPr>
                <w:rFonts w:hint="eastAsia"/>
                <w:lang w:val="en-US" w:eastAsia="zh-CN"/>
              </w:rPr>
              <w:t>单位产值综合能耗</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ind w:left="0" w:leftChars="-1" w:right="3" w:hanging="2" w:hangingChars="1"/>
            </w:pPr>
            <w:r>
              <w:rPr>
                <w:rFonts w:hint="eastAsia"/>
              </w:rPr>
              <w:t>□节能评估报告编号/日期：项目编号：LG1500010(J)</w:t>
            </w:r>
            <w:r>
              <w:rPr>
                <w:rFonts w:hint="eastAsia"/>
                <w:lang w:eastAsia="zh-CN"/>
              </w:rPr>
              <w:t>；</w:t>
            </w:r>
            <w:r>
              <w:rPr>
                <w:rFonts w:hint="eastAsia"/>
                <w:lang w:val="en-US" w:eastAsia="zh-CN"/>
              </w:rPr>
              <w:t>日期：2015年8月</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highlight w:val="none"/>
                <w:lang w:val="en-US" w:eastAsia="zh-CN"/>
              </w:rPr>
              <w:t>2022.2</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2601"/>
              <w:gridCol w:w="1126"/>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2601"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26"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797"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shd w:val="clear" w:color="auto" w:fill="auto"/>
                  <w:vAlign w:val="center"/>
                </w:tcPr>
                <w:p>
                  <w:pPr>
                    <w:widowControl/>
                    <w:spacing w:before="40"/>
                    <w:jc w:val="left"/>
                    <w:rPr>
                      <w:rFonts w:hint="eastAsia" w:ascii="Times New Roman" w:hAnsi="Times New Roman" w:eastAsia="宋体" w:cs="Times New Roman"/>
                      <w:kern w:val="2"/>
                      <w:sz w:val="21"/>
                      <w:szCs w:val="24"/>
                      <w:highlight w:val="yellow"/>
                      <w:lang w:val="en-US" w:eastAsia="zh-CN" w:bidi="ar-SA"/>
                    </w:rPr>
                  </w:pPr>
                  <w:r>
                    <w:rPr>
                      <w:rFonts w:hint="eastAsia" w:ascii="宋体" w:hAnsi="宋体" w:eastAsia="宋体" w:cs="Times New Roman"/>
                      <w:color w:val="000000"/>
                      <w:szCs w:val="18"/>
                    </w:rPr>
                    <w:t>综合能耗</w:t>
                  </w:r>
                  <w:r>
                    <w:rPr>
                      <w:rFonts w:hint="eastAsia" w:ascii="宋体" w:hAnsi="宋体" w:eastAsia="宋体" w:cs="Times New Roman"/>
                      <w:color w:val="000000"/>
                      <w:szCs w:val="18"/>
                      <w:lang w:val="en-US" w:eastAsia="zh-CN"/>
                    </w:rPr>
                    <w:t>70000</w:t>
                  </w:r>
                  <w:r>
                    <w:rPr>
                      <w:rFonts w:hint="eastAsia" w:ascii="宋体" w:hAnsi="宋体" w:eastAsia="宋体" w:cs="Times New Roman"/>
                      <w:color w:val="000000"/>
                      <w:szCs w:val="18"/>
                    </w:rPr>
                    <w:t>tce</w:t>
                  </w:r>
                </w:p>
              </w:tc>
              <w:tc>
                <w:tcPr>
                  <w:tcW w:w="2601" w:type="dxa"/>
                  <w:shd w:val="clear" w:color="auto" w:fill="auto"/>
                  <w:vAlign w:val="center"/>
                </w:tcPr>
                <w:p>
                  <w:pPr>
                    <w:widowControl/>
                    <w:spacing w:before="40"/>
                    <w:jc w:val="left"/>
                    <w:rPr>
                      <w:rFonts w:hint="default" w:ascii="宋体" w:hAnsi="宋体" w:eastAsia="宋体" w:cs="Times New Roman"/>
                      <w:color w:val="000000"/>
                      <w:szCs w:val="18"/>
                      <w:lang w:val="en-GB" w:eastAsia="zh-CN"/>
                    </w:rPr>
                  </w:pPr>
                  <w:r>
                    <w:rPr>
                      <w:rFonts w:hint="eastAsia" w:ascii="宋体" w:hAnsi="宋体" w:eastAsia="宋体" w:cs="Times New Roman"/>
                      <w:color w:val="000000"/>
                      <w:szCs w:val="18"/>
                      <w:lang w:val="en-US" w:eastAsia="zh-CN"/>
                    </w:rPr>
                    <w:t>加强节能管理，控制工艺参数及相关变量的波动</w:t>
                  </w:r>
                </w:p>
              </w:tc>
              <w:tc>
                <w:tcPr>
                  <w:tcW w:w="1126" w:type="dxa"/>
                  <w:shd w:val="clear" w:color="auto" w:fill="auto"/>
                  <w:vAlign w:val="center"/>
                </w:tcPr>
                <w:p>
                  <w:pPr>
                    <w:widowControl/>
                    <w:spacing w:before="40"/>
                    <w:jc w:val="left"/>
                    <w:rPr>
                      <w:rFonts w:hint="default" w:ascii="宋体" w:hAnsi="宋体" w:eastAsia="宋体" w:cs="Times New Roman"/>
                      <w:color w:val="000000"/>
                      <w:szCs w:val="18"/>
                      <w:lang w:val="en-US" w:eastAsia="zh-CN"/>
                    </w:rPr>
                  </w:pPr>
                  <w:r>
                    <w:rPr>
                      <w:rFonts w:hint="eastAsia" w:ascii="宋体" w:hAnsi="宋体" w:eastAsia="宋体" w:cs="Times New Roman"/>
                      <w:color w:val="000000"/>
                      <w:szCs w:val="18"/>
                      <w:lang w:val="en-US" w:eastAsia="zh-CN"/>
                    </w:rPr>
                    <w:t>技术研发部</w:t>
                  </w:r>
                </w:p>
              </w:tc>
              <w:tc>
                <w:tcPr>
                  <w:tcW w:w="2797" w:type="dxa"/>
                  <w:shd w:val="clear" w:color="auto" w:fill="auto"/>
                  <w:vAlign w:val="center"/>
                </w:tcPr>
                <w:p>
                  <w:pPr>
                    <w:widowControl/>
                    <w:spacing w:before="40"/>
                    <w:jc w:val="left"/>
                    <w:rPr>
                      <w:rFonts w:ascii="宋体" w:hAnsi="宋体" w:eastAsia="宋体" w:cs="Times New Roman"/>
                      <w:kern w:val="2"/>
                      <w:sz w:val="21"/>
                      <w:szCs w:val="24"/>
                      <w:highlight w:val="yellow"/>
                      <w:lang w:val="en-GB" w:eastAsia="zh-CN" w:bidi="ar-SA"/>
                    </w:rPr>
                  </w:pPr>
                  <w:r>
                    <w:rPr>
                      <w:rFonts w:hint="eastAsia" w:ascii="宋体" w:hAnsi="宋体" w:eastAsia="宋体" w:cs="Times New Roman"/>
                      <w:color w:val="000000"/>
                      <w:szCs w:val="18"/>
                      <w:lang w:val="en-US" w:eastAsia="zh-CN"/>
                    </w:rPr>
                    <w:t>2021年实际完成</w:t>
                  </w:r>
                  <w:r>
                    <w:rPr>
                      <w:rFonts w:hint="eastAsia" w:ascii="宋体" w:hAnsi="宋体" w:eastAsia="宋体" w:cs="Times New Roman"/>
                      <w:color w:val="000000"/>
                      <w:szCs w:val="18"/>
                    </w:rPr>
                    <w:t>62039.1</w:t>
                  </w:r>
                  <w:r>
                    <w:rPr>
                      <w:rFonts w:hint="eastAsia" w:ascii="宋体" w:hAnsi="宋体" w:eastAsia="宋体" w:cs="Times New Roman"/>
                      <w:color w:val="000000"/>
                      <w:szCs w:val="18"/>
                      <w:lang w:val="en-US" w:eastAsia="zh-CN"/>
                    </w:rPr>
                    <w:t>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4" w:type="dxa"/>
                  <w:shd w:val="clear" w:color="auto" w:fill="auto"/>
                  <w:vAlign w:val="center"/>
                </w:tcPr>
                <w:p>
                  <w:pPr>
                    <w:widowControl/>
                    <w:spacing w:before="40"/>
                    <w:jc w:val="left"/>
                    <w:rPr>
                      <w:rFonts w:ascii="Times New Roman" w:hAnsi="Times New Roman" w:eastAsia="宋体" w:cs="Times New Roman"/>
                      <w:kern w:val="2"/>
                      <w:sz w:val="21"/>
                      <w:szCs w:val="24"/>
                      <w:highlight w:val="yellow"/>
                      <w:lang w:val="en-US" w:eastAsia="zh-CN" w:bidi="ar-SA"/>
                    </w:rPr>
                  </w:pPr>
                  <w:r>
                    <w:rPr>
                      <w:rFonts w:hint="eastAsia" w:ascii="宋体" w:hAnsi="宋体" w:eastAsia="宋体" w:cs="Times New Roman"/>
                      <w:color w:val="000000"/>
                      <w:szCs w:val="18"/>
                    </w:rPr>
                    <w:t>单位产品综合能耗</w:t>
                  </w:r>
                  <w:r>
                    <w:rPr>
                      <w:rFonts w:hint="eastAsia" w:ascii="宋体" w:hAnsi="宋体" w:eastAsia="宋体" w:cs="Times New Roman"/>
                      <w:color w:val="000000"/>
                      <w:szCs w:val="18"/>
                      <w:lang w:val="en-US" w:eastAsia="zh-CN"/>
                    </w:rPr>
                    <w:t>17</w:t>
                  </w:r>
                  <w:r>
                    <w:rPr>
                      <w:rFonts w:hint="eastAsia" w:ascii="宋体" w:hAnsi="宋体" w:cs="Times New Roman"/>
                      <w:color w:val="000000"/>
                      <w:szCs w:val="18"/>
                      <w:lang w:val="en-US" w:eastAsia="zh-CN"/>
                    </w:rPr>
                    <w:t>1</w:t>
                  </w:r>
                  <w:r>
                    <w:rPr>
                      <w:rFonts w:hint="eastAsia" w:ascii="宋体" w:hAnsi="宋体" w:eastAsia="宋体" w:cs="Times New Roman"/>
                      <w:color w:val="000000"/>
                      <w:szCs w:val="18"/>
                      <w:lang w:val="en-US" w:eastAsia="zh-CN"/>
                    </w:rPr>
                    <w:t>0</w:t>
                  </w:r>
                  <w:r>
                    <w:rPr>
                      <w:rFonts w:hint="eastAsia" w:ascii="宋体" w:hAnsi="宋体" w:eastAsia="宋体" w:cs="Times New Roman"/>
                      <w:color w:val="000000"/>
                      <w:szCs w:val="18"/>
                    </w:rPr>
                    <w:t>kgce/t</w:t>
                  </w:r>
                </w:p>
              </w:tc>
              <w:tc>
                <w:tcPr>
                  <w:tcW w:w="2601" w:type="dxa"/>
                  <w:shd w:val="clear" w:color="auto" w:fill="auto"/>
                  <w:vAlign w:val="center"/>
                </w:tcPr>
                <w:p>
                  <w:pPr>
                    <w:widowControl/>
                    <w:spacing w:before="40"/>
                    <w:jc w:val="left"/>
                    <w:rPr>
                      <w:rFonts w:hint="default" w:ascii="宋体" w:hAnsi="宋体" w:eastAsia="宋体" w:cs="Times New Roman"/>
                      <w:color w:val="000000"/>
                      <w:szCs w:val="18"/>
                      <w:lang w:val="en-US" w:eastAsia="zh-CN"/>
                    </w:rPr>
                  </w:pPr>
                  <w:r>
                    <w:rPr>
                      <w:rFonts w:hint="eastAsia" w:ascii="宋体" w:hAnsi="宋体" w:eastAsia="宋体" w:cs="Times New Roman"/>
                      <w:color w:val="000000"/>
                      <w:szCs w:val="18"/>
                      <w:lang w:val="en-US" w:eastAsia="zh-CN"/>
                    </w:rPr>
                    <w:t>加强节能管理，控制工艺参数及相关变量的波动，提高产品产量</w:t>
                  </w:r>
                </w:p>
              </w:tc>
              <w:tc>
                <w:tcPr>
                  <w:tcW w:w="1126" w:type="dxa"/>
                  <w:shd w:val="clear" w:color="auto" w:fill="auto"/>
                  <w:vAlign w:val="center"/>
                </w:tcPr>
                <w:p>
                  <w:pPr>
                    <w:widowControl/>
                    <w:spacing w:before="40"/>
                    <w:jc w:val="left"/>
                    <w:rPr>
                      <w:rFonts w:hint="default" w:ascii="宋体" w:hAnsi="宋体" w:eastAsia="宋体" w:cs="Times New Roman"/>
                      <w:color w:val="000000"/>
                      <w:szCs w:val="18"/>
                      <w:lang w:val="en-US" w:eastAsia="zh-CN"/>
                    </w:rPr>
                  </w:pPr>
                  <w:r>
                    <w:rPr>
                      <w:rFonts w:hint="eastAsia" w:ascii="宋体" w:hAnsi="宋体" w:eastAsia="宋体" w:cs="Times New Roman"/>
                      <w:color w:val="000000"/>
                      <w:szCs w:val="18"/>
                      <w:lang w:val="en-US" w:eastAsia="zh-CN"/>
                    </w:rPr>
                    <w:t>生产运营部/技术部</w:t>
                  </w:r>
                </w:p>
              </w:tc>
              <w:tc>
                <w:tcPr>
                  <w:tcW w:w="2797" w:type="dxa"/>
                  <w:shd w:val="clear" w:color="auto" w:fill="auto"/>
                  <w:vAlign w:val="center"/>
                </w:tcPr>
                <w:p>
                  <w:pPr>
                    <w:widowControl/>
                    <w:spacing w:before="40"/>
                    <w:jc w:val="left"/>
                    <w:rPr>
                      <w:rFonts w:hint="default"/>
                      <w:highlight w:val="yellow"/>
                      <w:lang w:val="en-US" w:eastAsia="zh-CN"/>
                    </w:rPr>
                  </w:pPr>
                  <w:r>
                    <w:rPr>
                      <w:rFonts w:hint="eastAsia" w:ascii="宋体" w:hAnsi="宋体" w:eastAsia="宋体" w:cs="Times New Roman"/>
                      <w:color w:val="000000"/>
                      <w:szCs w:val="18"/>
                      <w:lang w:val="en-US" w:eastAsia="zh-CN"/>
                    </w:rPr>
                    <w:t>2021年实际完成</w:t>
                  </w:r>
                  <w:r>
                    <w:rPr>
                      <w:rFonts w:hint="eastAsia" w:ascii="宋体" w:hAnsi="宋体" w:eastAsia="宋体" w:cs="Times New Roman"/>
                      <w:color w:val="000000"/>
                      <w:szCs w:val="18"/>
                    </w:rPr>
                    <w:t>1704.37kgce/t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shd w:val="clear" w:color="auto" w:fill="auto"/>
                  <w:vAlign w:val="center"/>
                </w:tcPr>
                <w:p>
                  <w:pPr>
                    <w:widowControl/>
                    <w:spacing w:before="40"/>
                    <w:jc w:val="left"/>
                    <w:rPr>
                      <w:highlight w:val="yellow"/>
                    </w:rPr>
                  </w:pPr>
                  <w:r>
                    <w:rPr>
                      <w:rFonts w:hint="eastAsia" w:ascii="宋体" w:hAnsi="宋体" w:eastAsia="宋体" w:cs="Times New Roman"/>
                      <w:color w:val="000000"/>
                      <w:szCs w:val="18"/>
                    </w:rPr>
                    <w:t>单位产值综合能耗</w:t>
                  </w:r>
                  <w:r>
                    <w:rPr>
                      <w:rFonts w:hint="eastAsia" w:ascii="宋体" w:hAnsi="宋体" w:eastAsia="宋体" w:cs="Times New Roman"/>
                      <w:color w:val="000000"/>
                      <w:szCs w:val="18"/>
                      <w:lang w:val="en-US" w:eastAsia="zh-CN"/>
                    </w:rPr>
                    <w:t>3500</w:t>
                  </w:r>
                  <w:r>
                    <w:rPr>
                      <w:rFonts w:hint="eastAsia" w:ascii="宋体" w:hAnsi="宋体" w:eastAsia="宋体" w:cs="Times New Roman"/>
                      <w:color w:val="000000"/>
                      <w:szCs w:val="18"/>
                    </w:rPr>
                    <w:t>kgce/万元</w:t>
                  </w:r>
                </w:p>
              </w:tc>
              <w:tc>
                <w:tcPr>
                  <w:tcW w:w="2601" w:type="dxa"/>
                  <w:shd w:val="clear" w:color="auto" w:fill="auto"/>
                  <w:vAlign w:val="center"/>
                </w:tcPr>
                <w:p>
                  <w:pPr>
                    <w:widowControl/>
                    <w:spacing w:before="40"/>
                    <w:jc w:val="left"/>
                    <w:rPr>
                      <w:rFonts w:hint="default" w:ascii="宋体" w:hAnsi="宋体" w:eastAsia="宋体" w:cs="Times New Roman"/>
                      <w:color w:val="000000"/>
                      <w:szCs w:val="18"/>
                      <w:lang w:val="en-US"/>
                    </w:rPr>
                  </w:pPr>
                  <w:r>
                    <w:rPr>
                      <w:rFonts w:hint="eastAsia" w:ascii="宋体" w:hAnsi="宋体" w:eastAsia="宋体" w:cs="Times New Roman"/>
                      <w:color w:val="000000"/>
                      <w:szCs w:val="18"/>
                      <w:lang w:val="en-US" w:eastAsia="zh-CN"/>
                    </w:rPr>
                    <w:t>加强节能管理，控制工艺参数及相关变量的波动，提高产品质，提高工业产值</w:t>
                  </w:r>
                </w:p>
              </w:tc>
              <w:tc>
                <w:tcPr>
                  <w:tcW w:w="1126" w:type="dxa"/>
                  <w:shd w:val="clear" w:color="auto" w:fill="auto"/>
                  <w:vAlign w:val="center"/>
                </w:tcPr>
                <w:p>
                  <w:pPr>
                    <w:widowControl/>
                    <w:spacing w:before="40"/>
                    <w:jc w:val="left"/>
                    <w:rPr>
                      <w:rFonts w:hint="default" w:ascii="宋体" w:hAnsi="宋体" w:eastAsia="宋体" w:cs="Times New Roman"/>
                      <w:color w:val="000000"/>
                      <w:szCs w:val="18"/>
                      <w:lang w:val="en-US" w:eastAsia="zh-CN"/>
                    </w:rPr>
                  </w:pPr>
                  <w:r>
                    <w:rPr>
                      <w:rFonts w:hint="eastAsia" w:ascii="宋体" w:hAnsi="宋体" w:eastAsia="宋体" w:cs="Times New Roman"/>
                      <w:color w:val="000000"/>
                      <w:szCs w:val="18"/>
                      <w:lang w:val="en-US" w:eastAsia="zh-CN"/>
                    </w:rPr>
                    <w:t>技术部/财务部</w:t>
                  </w:r>
                </w:p>
              </w:tc>
              <w:tc>
                <w:tcPr>
                  <w:tcW w:w="2797" w:type="dxa"/>
                  <w:shd w:val="clear" w:color="auto" w:fill="auto"/>
                  <w:vAlign w:val="center"/>
                </w:tcPr>
                <w:p>
                  <w:pPr>
                    <w:widowControl/>
                    <w:spacing w:before="40"/>
                    <w:jc w:val="left"/>
                    <w:rPr>
                      <w:rFonts w:hint="default" w:ascii="宋体" w:hAnsi="宋体"/>
                      <w:highlight w:val="yellow"/>
                      <w:lang w:val="en-US"/>
                    </w:rPr>
                  </w:pPr>
                  <w:r>
                    <w:rPr>
                      <w:rFonts w:hint="eastAsia" w:ascii="宋体" w:hAnsi="宋体" w:eastAsia="宋体" w:cs="Times New Roman"/>
                      <w:color w:val="000000"/>
                      <w:szCs w:val="18"/>
                      <w:lang w:val="en-US" w:eastAsia="zh-CN"/>
                    </w:rPr>
                    <w:t>2021年实际完成</w:t>
                  </w:r>
                  <w:r>
                    <w:rPr>
                      <w:rFonts w:hint="eastAsia" w:ascii="宋体" w:hAnsi="宋体" w:eastAsia="宋体" w:cs="Times New Roman"/>
                      <w:color w:val="000000"/>
                      <w:szCs w:val="18"/>
                    </w:rPr>
                    <w:t>3022.83kgce/万元</w:t>
                  </w: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52"/>
            </w:r>
            <w:r>
              <w:rPr>
                <w:rFonts w:hint="eastAsia"/>
                <w:highlight w:val="none"/>
              </w:rPr>
              <w:t>目标已实现</w:t>
            </w:r>
            <w:r>
              <w:rPr>
                <w:rFonts w:hint="eastAsia"/>
                <w:highlight w:val="none"/>
                <w:lang w:val="en-US" w:eastAsia="zh-CN"/>
              </w:rPr>
              <w:t>。</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64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asciiTheme="minorEastAsia" w:hAnsiTheme="minorEastAsia" w:eastAsiaTheme="minorEastAsia"/>
                <w:lang w:val="en-US" w:eastAsia="zh-CN"/>
              </w:rPr>
              <w:t>占地面积</w:t>
            </w:r>
            <w:r>
              <w:rPr>
                <w:rFonts w:hint="eastAsia" w:asciiTheme="minorEastAsia" w:hAnsiTheme="minorEastAsia" w:eastAsiaTheme="minorEastAsia"/>
              </w:rPr>
              <w:t>120384</w:t>
            </w:r>
            <w:r>
              <w:rPr>
                <w:rFonts w:hint="eastAsia"/>
              </w:rPr>
              <w:t>平方米；</w:t>
            </w:r>
            <w:r>
              <w:rPr>
                <w:rFonts w:hint="eastAsia"/>
                <w:lang w:val="en-US" w:eastAsia="zh-CN"/>
              </w:rPr>
              <w:t>主要</w:t>
            </w:r>
            <w:r>
              <w:rPr>
                <w:rFonts w:hint="eastAsia"/>
              </w:rPr>
              <w:t>生产</w:t>
            </w:r>
            <w:r>
              <w:rPr>
                <w:rFonts w:hint="eastAsia"/>
                <w:lang w:val="en-US" w:eastAsia="zh-CN"/>
              </w:rPr>
              <w:t>工序7</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u w:val="single"/>
                <w:lang w:val="en-US" w:eastAsia="zh-CN"/>
              </w:rPr>
              <w:t>发酵罐</w:t>
            </w:r>
            <w:r>
              <w:rPr>
                <w:rFonts w:hint="eastAsia"/>
                <w:color w:val="000000"/>
                <w:szCs w:val="22"/>
                <w:u w:val="single"/>
              </w:rPr>
              <w:t>、</w:t>
            </w:r>
            <w:r>
              <w:rPr>
                <w:rFonts w:hint="eastAsia"/>
                <w:color w:val="000000"/>
                <w:szCs w:val="22"/>
                <w:u w:val="single"/>
                <w:lang w:val="en-US" w:eastAsia="zh-CN"/>
              </w:rPr>
              <w:t>煤气压缩机</w:t>
            </w:r>
            <w:r>
              <w:rPr>
                <w:rFonts w:hint="eastAsia"/>
                <w:color w:val="000000"/>
                <w:szCs w:val="22"/>
                <w:u w:val="single"/>
              </w:rPr>
              <w:t>、</w:t>
            </w:r>
            <w:r>
              <w:rPr>
                <w:rFonts w:hint="eastAsia" w:ascii="宋体" w:hAnsi="宋体"/>
                <w:color w:val="000000"/>
                <w:spacing w:val="-2"/>
                <w:szCs w:val="21"/>
                <w:u w:val="single"/>
              </w:rPr>
              <w:t>增压风机、承压蒸汽锅炉</w:t>
            </w:r>
            <w:r>
              <w:rPr>
                <w:rFonts w:ascii="宋体" w:hAnsi="宋体"/>
                <w:color w:val="000000"/>
                <w:spacing w:val="-2"/>
                <w:szCs w:val="21"/>
                <w:u w:val="single"/>
              </w:rPr>
              <w:t xml:space="preserve"> </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color w:val="000000"/>
                <w:szCs w:val="22"/>
                <w:u w:val="single"/>
                <w:lang w:val="en-US" w:eastAsia="zh-CN"/>
              </w:rPr>
              <w:t>压缩机</w:t>
            </w:r>
            <w:r>
              <w:rPr>
                <w:rFonts w:hint="eastAsia"/>
                <w:sz w:val="21"/>
                <w:szCs w:val="21"/>
                <w:u w:val="single"/>
                <w:lang w:val="en-US" w:eastAsia="zh-CN"/>
              </w:rPr>
              <w:t>、</w:t>
            </w:r>
            <w:r>
              <w:rPr>
                <w:rFonts w:hint="eastAsia" w:ascii="宋体" w:hAnsi="宋体"/>
                <w:color w:val="000000"/>
                <w:spacing w:val="-2"/>
                <w:szCs w:val="21"/>
                <w:u w:val="single"/>
              </w:rPr>
              <w:t>增压风机、承压蒸汽锅炉</w:t>
            </w:r>
            <w:r>
              <w:rPr>
                <w:rFonts w:ascii="宋体" w:hAnsi="宋体"/>
                <w:color w:val="000000"/>
                <w:spacing w:val="-2"/>
                <w:szCs w:val="21"/>
                <w:u w:val="single"/>
              </w:rPr>
              <w:t xml:space="preserve"> </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sym w:font="Wingdings 2" w:char="00A3"/>
            </w:r>
            <w:r>
              <w:rPr>
                <w:rFonts w:hint="eastAsia"/>
              </w:rPr>
              <w:t>行车</w:t>
            </w:r>
            <w:r>
              <w:rPr>
                <w:rFonts w:hint="eastAsia" w:ascii="Wingdings" w:hAnsi="Wingdings"/>
                <w:lang w:eastAsia="zh-CN"/>
              </w:rPr>
              <w:sym w:font="Wingdings 2" w:char="00A3"/>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A3"/>
            </w:r>
            <w:r>
              <w:rPr>
                <w:rFonts w:hint="eastAsia"/>
              </w:rPr>
              <w:t>空压</w:t>
            </w:r>
            <w:r>
              <w:rPr>
                <w:rFonts w:hint="eastAsia"/>
                <w:lang w:val="en-US" w:eastAsia="zh-CN"/>
              </w:rPr>
              <w:t>机</w:t>
            </w:r>
            <w:r>
              <w:rPr>
                <w:rFonts w:hint="eastAsia" w:ascii="Wingdings" w:hAnsi="Wingdings"/>
                <w:lang w:eastAsia="zh-CN"/>
              </w:rPr>
              <w:sym w:font="Wingdings 2" w:char="0052"/>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highlight w:val="none"/>
                <w:u w:val="single"/>
                <w:lang w:val="en-US" w:eastAsia="zh-CN"/>
              </w:rPr>
              <w:t>水表、电表、蒸气流量计、煤气流量计等</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52"/>
            </w:r>
            <w:r>
              <w:rPr>
                <w:rFonts w:hint="eastAsia"/>
                <w:highlight w:val="none"/>
              </w:rPr>
              <w:t>进行了定期校准</w:t>
            </w:r>
            <w:r>
              <w:rPr>
                <w:rFonts w:hint="eastAsia"/>
              </w:rPr>
              <w:t>/检定</w:t>
            </w:r>
            <w:r>
              <w:rPr>
                <w:rFonts w:hint="eastAsia" w:ascii="Wingdings" w:hAnsi="Wingdings"/>
                <w:lang w:eastAsia="zh-CN"/>
              </w:rPr>
              <w:sym w:font="Wingdings 2" w:char="00A3"/>
            </w:r>
            <w:r>
              <w:rPr>
                <w:rFonts w:hint="eastAsia"/>
              </w:rPr>
              <w:t>未</w:t>
            </w:r>
            <w:r>
              <w:rPr>
                <w:rFonts w:hint="eastAsia"/>
                <w:lang w:val="en-US" w:eastAsia="zh-CN"/>
              </w:rPr>
              <w:t>提供</w:t>
            </w:r>
            <w:r>
              <w:rPr>
                <w:rFonts w:hint="eastAsia"/>
              </w:rPr>
              <w:t>行定期校准/检定</w:t>
            </w:r>
            <w:r>
              <w:rPr>
                <w:rFonts w:hint="eastAsia"/>
                <w:lang w:val="en-US" w:eastAsia="zh-CN"/>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sym w:font="Wingdings 2" w:char="0052"/>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sym w:font="Wingdings 2" w:char="0052"/>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蛋白离心机优化配置技术改造</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对该设计和开发的项目并制订了相应的控制措施。</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lang w:eastAsia="zh-CN"/>
              </w:rPr>
              <w:sym w:font="Wingdings 2" w:char="0052"/>
            </w:r>
            <w:r>
              <w:rPr>
                <w:rFonts w:hint="eastAsia"/>
              </w:rPr>
              <w:t>能源采购</w:t>
            </w:r>
            <w:r>
              <w:rPr>
                <w:rFonts w:hint="eastAsia"/>
                <w:lang w:eastAsia="zh-CN"/>
              </w:rPr>
              <w:sym w:font="Wingdings 2" w:char="0052"/>
            </w:r>
            <w:r>
              <w:rPr>
                <w:rFonts w:hint="eastAsia"/>
              </w:rPr>
              <w:t>主要用能设备采购</w:t>
            </w:r>
            <w:r>
              <w:rPr>
                <w:rFonts w:hint="eastAsia"/>
                <w:lang w:eastAsia="zh-CN"/>
              </w:rPr>
              <w:sym w:font="Wingdings 2" w:char="00A3"/>
            </w:r>
            <w:r>
              <w:rPr>
                <w:rFonts w:hint="eastAsia"/>
              </w:rPr>
              <w:t>淘汰落后设备更新</w:t>
            </w:r>
            <w:r>
              <w:rPr>
                <w:rFonts w:hint="eastAsia"/>
                <w:lang w:eastAsia="zh-CN"/>
              </w:rPr>
              <w:sym w:font="Wingdings 2" w:char="0052"/>
            </w:r>
            <w:r>
              <w:rPr>
                <w:rFonts w:hint="eastAsia"/>
              </w:rPr>
              <w:t>计量器具采购</w:t>
            </w:r>
            <w:r>
              <w:rPr>
                <w:rFonts w:hint="eastAsia"/>
                <w:lang w:eastAsia="zh-CN"/>
              </w:rPr>
              <w:t>□</w:t>
            </w:r>
            <w:r>
              <w:rPr>
                <w:rFonts w:hint="eastAsia"/>
              </w:rPr>
              <w:t>其他</w:t>
            </w:r>
          </w:p>
          <w:p>
            <w:pPr>
              <w:shd w:val="clear" w:color="auto" w:fill="EBF1DE" w:themeFill="accent3" w:themeFillTint="32"/>
              <w:jc w:val="left"/>
            </w:pPr>
            <w:r>
              <w:rPr>
                <w:rFonts w:hint="eastAsia"/>
              </w:rPr>
              <w:t>控制方式：</w:t>
            </w:r>
            <w:r>
              <w:rPr>
                <w:rFonts w:hint="eastAsia"/>
                <w:lang w:eastAsia="zh-CN"/>
              </w:rPr>
              <w:sym w:font="Wingdings 2" w:char="0052"/>
            </w:r>
            <w:r>
              <w:rPr>
                <w:rFonts w:hint="eastAsia"/>
              </w:rPr>
              <w:t>合同约定</w:t>
            </w:r>
            <w:r>
              <w:rPr>
                <w:rFonts w:hint="eastAsia"/>
                <w:lang w:eastAsia="zh-CN"/>
              </w:rPr>
              <w:t>□</w:t>
            </w:r>
            <w:r>
              <w:rPr>
                <w:rFonts w:hint="eastAsia"/>
              </w:rPr>
              <w:t>现场检查</w:t>
            </w:r>
            <w:r>
              <w:rPr>
                <w:rFonts w:hint="eastAsia"/>
                <w:lang w:eastAsia="zh-CN"/>
              </w:rPr>
              <w:t>□</w:t>
            </w:r>
            <w:r>
              <w:rPr>
                <w:rFonts w:hint="eastAsia"/>
              </w:rPr>
              <w:t>其他</w:t>
            </w:r>
          </w:p>
          <w:p>
            <w:pPr>
              <w:shd w:val="clear" w:color="auto" w:fill="EBF1DE" w:themeFill="accent3" w:themeFillTint="32"/>
              <w:jc w:val="left"/>
              <w:rPr>
                <w:rFonts w:hint="eastAsia"/>
              </w:rPr>
            </w:pPr>
            <w:r>
              <w:rPr>
                <w:rFonts w:hint="eastAsia"/>
              </w:rPr>
              <w:t>对外部供方的控制：</w:t>
            </w:r>
            <w:r>
              <w:rPr>
                <w:rFonts w:hint="eastAsia"/>
                <w:lang w:eastAsia="zh-CN"/>
              </w:rPr>
              <w:sym w:font="Wingdings 2" w:char="0052"/>
            </w:r>
            <w:r>
              <w:rPr>
                <w:rFonts w:hint="eastAsia"/>
              </w:rPr>
              <w:t>符合要求</w:t>
            </w:r>
            <w:r>
              <w:rPr>
                <w:rFonts w:hint="eastAsia"/>
                <w:lang w:eastAsia="zh-CN"/>
              </w:rPr>
              <w:t>□</w:t>
            </w:r>
            <w:r>
              <w:rPr>
                <w:rFonts w:hint="eastAsia"/>
              </w:rPr>
              <w:t>存在不足，说明。</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加强蒸汽使用过程的检查，减少跑冒滴漏等</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default" w:eastAsia="宋体"/>
                      <w:lang w:val="en-US" w:eastAsia="zh-CN"/>
                    </w:rPr>
                  </w:pPr>
                  <w:bookmarkStart w:id="33" w:name="_GoBack"/>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加强节电管理，提高用电设备效率</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lang w:val="en-US" w:eastAsia="zh-CN"/>
                    </w:rPr>
                    <w:t>煤</w:t>
                  </w:r>
                  <w:r>
                    <w:rPr>
                      <w:rFonts w:hint="eastAsia"/>
                    </w:rPr>
                    <w:t>气</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加强转输、压缩发酵过程管理，减少跑冒滴漏</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highlight w:val="none"/>
                <w:lang w:eastAsia="zh-CN"/>
              </w:rPr>
              <w:sym w:font="Wingdings 2" w:char="0052"/>
            </w:r>
            <w:r>
              <w:rPr>
                <w:rFonts w:hint="eastAsia"/>
                <w:highlight w:val="none"/>
              </w:rPr>
              <w:t>节能技术的实施</w:t>
            </w:r>
            <w:r>
              <w:rPr>
                <w:rFonts w:hint="eastAsia" w:ascii="Wingdings" w:hAnsi="Wingdings"/>
                <w:lang w:eastAsia="zh-CN"/>
              </w:rPr>
              <w:sym w:font="Wingdings 2" w:char="00A3"/>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2021</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7</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sym w:font="Wingdings 2" w:char="00A3"/>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企业目前未开展能效测试</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目前未开展，建议企业结合实际适时开展。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8-9</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w:t>
            </w:r>
            <w:r>
              <w:rPr>
                <w:rFonts w:hint="eastAsia"/>
                <w:lang w:val="en-US" w:eastAsia="zh-CN"/>
              </w:rPr>
              <w:t>远程</w:t>
            </w:r>
            <w:r>
              <w:rPr>
                <w:rFonts w:hint="eastAsia"/>
              </w:rPr>
              <w:t>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25</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8"/>
        <w:tblW w:w="98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223"/>
        <w:gridCol w:w="780"/>
        <w:gridCol w:w="740"/>
        <w:gridCol w:w="760"/>
        <w:gridCol w:w="770"/>
        <w:gridCol w:w="730"/>
        <w:gridCol w:w="770"/>
        <w:gridCol w:w="860"/>
        <w:gridCol w:w="780"/>
        <w:gridCol w:w="770"/>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60"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3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86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6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0"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lang w:val="en-US" w:eastAsia="zh-CN"/>
              </w:rPr>
              <w:t>3</w:t>
            </w:r>
          </w:p>
        </w:tc>
        <w:tc>
          <w:tcPr>
            <w:tcW w:w="76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4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6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73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86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6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60"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30" w:type="dxa"/>
            <w:shd w:val="clear" w:color="auto" w:fill="EBF1DE" w:themeFill="accent3" w:themeFillTint="32"/>
            <w:vAlign w:val="center"/>
          </w:tcPr>
          <w:p>
            <w:pPr>
              <w:shd w:val="clear" w:color="auto" w:fill="EBF1DE" w:themeFill="accent3" w:themeFillTint="32"/>
            </w:pPr>
            <w:r>
              <w:rPr>
                <w:rFonts w:hint="eastAsia"/>
              </w:rPr>
              <w:t>7.2</w:t>
            </w:r>
          </w:p>
        </w:tc>
        <w:tc>
          <w:tcPr>
            <w:tcW w:w="770" w:type="dxa"/>
            <w:shd w:val="clear" w:color="auto" w:fill="EBF1DE" w:themeFill="accent3" w:themeFillTint="32"/>
            <w:vAlign w:val="center"/>
          </w:tcPr>
          <w:p>
            <w:pPr>
              <w:shd w:val="clear" w:color="auto" w:fill="EBF1DE" w:themeFill="accent3" w:themeFillTint="32"/>
            </w:pPr>
            <w:r>
              <w:rPr>
                <w:rFonts w:hint="eastAsia"/>
              </w:rPr>
              <w:t>7.3</w:t>
            </w:r>
          </w:p>
        </w:tc>
        <w:tc>
          <w:tcPr>
            <w:tcW w:w="860" w:type="dxa"/>
            <w:shd w:val="clear" w:color="auto" w:fill="EBF1DE" w:themeFill="accent3" w:themeFillTint="32"/>
            <w:vAlign w:val="center"/>
          </w:tcPr>
          <w:p>
            <w:pPr>
              <w:shd w:val="clear" w:color="auto" w:fill="EBF1DE" w:themeFill="accent3" w:themeFillTint="32"/>
            </w:pPr>
            <w:r>
              <w:rPr>
                <w:rFonts w:hint="eastAsia"/>
              </w:rPr>
              <w:t>7.4</w:t>
            </w:r>
          </w:p>
        </w:tc>
        <w:tc>
          <w:tcPr>
            <w:tcW w:w="780" w:type="dxa"/>
            <w:shd w:val="clear" w:color="auto" w:fill="EBF1DE" w:themeFill="accent3" w:themeFillTint="32"/>
            <w:vAlign w:val="center"/>
          </w:tcPr>
          <w:p>
            <w:pPr>
              <w:shd w:val="clear" w:color="auto" w:fill="EBF1DE" w:themeFill="accent3" w:themeFillTint="32"/>
            </w:pPr>
            <w:r>
              <w:rPr>
                <w:rFonts w:hint="eastAsia"/>
              </w:rPr>
              <w:t>7.5</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6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6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80" w:type="dxa"/>
            <w:shd w:val="clear" w:color="auto" w:fill="EBF1DE" w:themeFill="accent3" w:themeFillTint="32"/>
            <w:vAlign w:val="center"/>
          </w:tcPr>
          <w:p>
            <w:pPr>
              <w:shd w:val="clear" w:color="auto" w:fill="EBF1DE" w:themeFill="accent3" w:themeFillTint="32"/>
            </w:pPr>
          </w:p>
        </w:tc>
        <w:tc>
          <w:tcPr>
            <w:tcW w:w="740" w:type="dxa"/>
            <w:shd w:val="clear" w:color="auto" w:fill="EBF1DE" w:themeFill="accent3" w:themeFillTint="32"/>
            <w:vAlign w:val="center"/>
          </w:tcPr>
          <w:p>
            <w:pPr>
              <w:shd w:val="clear" w:color="auto" w:fill="EBF1DE" w:themeFill="accent3" w:themeFillTint="32"/>
              <w:rPr>
                <w:lang w:eastAsia="ja-JP"/>
              </w:rPr>
            </w:pPr>
          </w:p>
        </w:tc>
        <w:tc>
          <w:tcPr>
            <w:tcW w:w="76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73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86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6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80" w:type="dxa"/>
            <w:shd w:val="clear" w:color="auto" w:fill="EBF1DE" w:themeFill="accent3" w:themeFillTint="32"/>
            <w:vAlign w:val="center"/>
          </w:tcPr>
          <w:p>
            <w:pPr>
              <w:shd w:val="clear" w:color="auto" w:fill="EBF1DE" w:themeFill="accent3" w:themeFillTint="32"/>
            </w:pPr>
            <w:r>
              <w:rPr>
                <w:rFonts w:hint="eastAsia"/>
              </w:rPr>
              <w:t>8.3</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60"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3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rPr>
              <w:t>10</w:t>
            </w:r>
            <w:r>
              <w:rPr>
                <w:rFonts w:hint="eastAsia"/>
                <w:highlight w:val="none"/>
                <w:lang w:val="en-US" w:eastAsia="zh-CN"/>
              </w:rPr>
              <w:t>.1</w:t>
            </w:r>
          </w:p>
        </w:tc>
        <w:tc>
          <w:tcPr>
            <w:tcW w:w="77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86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6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6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none"/>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6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40" w:type="dxa"/>
            <w:shd w:val="clear" w:color="auto" w:fill="EBF1DE" w:themeFill="accent3" w:themeFillTint="32"/>
          </w:tcPr>
          <w:p>
            <w:pPr>
              <w:shd w:val="clear" w:color="auto" w:fill="EBF1DE" w:themeFill="accent3" w:themeFillTint="32"/>
              <w:rPr>
                <w:lang w:eastAsia="ja-JP"/>
              </w:rPr>
            </w:pPr>
          </w:p>
        </w:tc>
        <w:tc>
          <w:tcPr>
            <w:tcW w:w="76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73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86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6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rPr>
          <w:shd w:val="clear" w:color="FFFFFF" w:fill="D9D9D9"/>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3073" o:spid="_x0000_s3073"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C90B4A"/>
    <w:rsid w:val="142A5A92"/>
    <w:rsid w:val="14AF698F"/>
    <w:rsid w:val="24C01299"/>
    <w:rsid w:val="35F03398"/>
    <w:rsid w:val="383E734C"/>
    <w:rsid w:val="52B83321"/>
    <w:rsid w:val="608A5971"/>
    <w:rsid w:val="7D315A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7</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2022-05-28T04:56:23Z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