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0481-2022-Q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734"/>
        <w:gridCol w:w="1209"/>
        <w:gridCol w:w="2305"/>
        <w:gridCol w:w="73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3943" w:type="dxa"/>
            <w:gridSpan w:val="2"/>
          </w:tcPr>
          <w:p>
            <w:pPr>
              <w:snapToGrid w:val="0"/>
              <w:spacing w:line="0" w:lineRule="atLeast"/>
              <w:jc w:val="center"/>
              <w:rPr>
                <w:rFonts w:eastAsia="隶书"/>
                <w:b/>
                <w:color w:val="000000" w:themeColor="text1"/>
                <w:sz w:val="22"/>
                <w:szCs w:val="22"/>
              </w:rPr>
            </w:pPr>
            <w:r>
              <w:rPr>
                <w:rFonts w:hint="eastAsia" w:eastAsia="隶书"/>
                <w:b/>
                <w:color w:val="000000" w:themeColor="text1"/>
                <w:sz w:val="22"/>
                <w:szCs w:val="22"/>
              </w:rPr>
              <w:t>江西恒金智能科技有限公司</w:t>
            </w:r>
          </w:p>
        </w:tc>
        <w:tc>
          <w:tcPr>
            <w:tcW w:w="230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38" w:type="dxa"/>
            <w:gridSpan w:val="2"/>
          </w:tcPr>
          <w:p>
            <w:pPr>
              <w:snapToGrid w:val="0"/>
              <w:spacing w:line="0" w:lineRule="atLeast"/>
              <w:jc w:val="center"/>
              <w:rPr>
                <w:rFonts w:eastAsia="隶书"/>
                <w:b/>
                <w:color w:val="000000" w:themeColor="text1"/>
                <w:sz w:val="22"/>
                <w:szCs w:val="22"/>
              </w:rPr>
            </w:pPr>
            <w:bookmarkStart w:id="1" w:name="总组长"/>
            <w:r>
              <w:rPr>
                <w:rFonts w:eastAsia="隶书"/>
                <w:b/>
                <w:color w:val="000000" w:themeColor="text1"/>
                <w:sz w:val="22"/>
                <w:szCs w:val="22"/>
              </w:rPr>
              <w:t>褚敏杰</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3943" w:type="dxa"/>
            <w:gridSpan w:val="2"/>
          </w:tcPr>
          <w:p>
            <w:pPr>
              <w:snapToGrid w:val="0"/>
              <w:spacing w:line="0" w:lineRule="atLeast"/>
              <w:jc w:val="center"/>
              <w:rPr>
                <w:sz w:val="22"/>
                <w:szCs w:val="22"/>
              </w:rPr>
            </w:pPr>
            <w:r>
              <w:rPr>
                <w:rFonts w:hint="eastAsia"/>
                <w:sz w:val="22"/>
                <w:szCs w:val="22"/>
                <w:lang w:val="en-US" w:eastAsia="zh-CN"/>
              </w:rPr>
              <w:t>0287-2020-QEO-2022</w:t>
            </w:r>
          </w:p>
        </w:tc>
        <w:tc>
          <w:tcPr>
            <w:tcW w:w="2305" w:type="dxa"/>
          </w:tcPr>
          <w:p>
            <w:pPr>
              <w:snapToGrid w:val="0"/>
              <w:spacing w:line="0" w:lineRule="atLeast"/>
              <w:jc w:val="center"/>
              <w:rPr>
                <w:sz w:val="22"/>
                <w:szCs w:val="22"/>
              </w:rPr>
            </w:pPr>
            <w:r>
              <w:rPr>
                <w:rFonts w:hint="eastAsia"/>
                <w:sz w:val="22"/>
                <w:szCs w:val="22"/>
                <w:lang w:val="en-GB"/>
              </w:rPr>
              <w:t>证书号</w:t>
            </w:r>
          </w:p>
        </w:tc>
        <w:tc>
          <w:tcPr>
            <w:tcW w:w="2138" w:type="dxa"/>
            <w:gridSpan w:val="2"/>
          </w:tcPr>
          <w:p>
            <w:pPr>
              <w:snapToGrid w:val="0"/>
              <w:spacing w:line="0" w:lineRule="atLeast"/>
              <w:jc w:val="center"/>
              <w:rPr>
                <w:sz w:val="22"/>
                <w:szCs w:val="22"/>
              </w:rPr>
            </w:pPr>
            <w:bookmarkStart w:id="2" w:name="证书编号"/>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3943" w:type="dxa"/>
            <w:gridSpan w:val="2"/>
          </w:tcPr>
          <w:p>
            <w:pPr>
              <w:snapToGrid w:val="0"/>
              <w:spacing w:line="0" w:lineRule="atLeast"/>
              <w:jc w:val="center"/>
              <w:rPr>
                <w:rFonts w:hint="default" w:eastAsia="宋体"/>
                <w:sz w:val="22"/>
                <w:szCs w:val="22"/>
                <w:lang w:val="en-US" w:eastAsia="zh-CN"/>
              </w:rPr>
            </w:pPr>
            <w:r>
              <w:rPr>
                <w:rFonts w:hint="eastAsia"/>
                <w:sz w:val="22"/>
                <w:szCs w:val="22"/>
                <w:lang w:val="en-US" w:eastAsia="zh-CN"/>
              </w:rPr>
              <w:t>91360982MA360H4H9U</w:t>
            </w:r>
          </w:p>
        </w:tc>
        <w:tc>
          <w:tcPr>
            <w:tcW w:w="2305" w:type="dxa"/>
          </w:tcPr>
          <w:p>
            <w:pPr>
              <w:snapToGrid w:val="0"/>
              <w:spacing w:line="0" w:lineRule="atLeast"/>
              <w:jc w:val="center"/>
              <w:rPr>
                <w:sz w:val="22"/>
                <w:szCs w:val="22"/>
              </w:rPr>
            </w:pPr>
            <w:r>
              <w:rPr>
                <w:rFonts w:hint="eastAsia"/>
                <w:sz w:val="22"/>
                <w:szCs w:val="22"/>
              </w:rPr>
              <w:t>是否带CNAS标志</w:t>
            </w:r>
          </w:p>
        </w:tc>
        <w:tc>
          <w:tcPr>
            <w:tcW w:w="2138" w:type="dxa"/>
            <w:gridSpan w:val="2"/>
          </w:tcPr>
          <w:p>
            <w:pPr>
              <w:snapToGrid w:val="0"/>
              <w:spacing w:line="0" w:lineRule="atLeast"/>
              <w:rPr>
                <w:sz w:val="22"/>
                <w:szCs w:val="22"/>
              </w:rPr>
            </w:pPr>
            <w:r>
              <w:rPr>
                <w:rFonts w:hint="eastAsia"/>
                <w:sz w:val="22"/>
                <w:szCs w:val="22"/>
              </w:rPr>
              <w:sym w:font="Wingdings 2" w:char="0052"/>
            </w:r>
            <w:r>
              <w:rPr>
                <w:rFonts w:hint="eastAsia"/>
                <w:sz w:val="22"/>
                <w:szCs w:val="22"/>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3943" w:type="dxa"/>
            <w:gridSpan w:val="2"/>
          </w:tcPr>
          <w:p>
            <w:pPr>
              <w:snapToGrid w:val="0"/>
              <w:spacing w:line="0" w:lineRule="atLeast"/>
              <w:jc w:val="left"/>
              <w:rPr>
                <w:sz w:val="22"/>
                <w:szCs w:val="22"/>
              </w:rPr>
            </w:pPr>
            <w:bookmarkStart w:id="3" w:name="Q勾选"/>
            <w:r>
              <w:rPr>
                <w:rFonts w:hint="eastAsia"/>
                <w:sz w:val="22"/>
                <w:szCs w:val="22"/>
              </w:rPr>
              <w:t>■</w:t>
            </w:r>
            <w:bookmarkEnd w:id="3"/>
            <w:r>
              <w:rPr>
                <w:rFonts w:hint="eastAsia"/>
                <w:sz w:val="22"/>
                <w:szCs w:val="22"/>
              </w:rPr>
              <w:t xml:space="preserve"> GB/T 19001-2016 idt ISO 9001:2015标准 (不适用：  条款)</w:t>
            </w:r>
          </w:p>
          <w:p>
            <w:pPr>
              <w:snapToGrid w:val="0"/>
              <w:spacing w:line="0" w:lineRule="atLeast"/>
              <w:jc w:val="left"/>
              <w:rPr>
                <w:sz w:val="22"/>
                <w:szCs w:val="22"/>
              </w:rPr>
            </w:pPr>
            <w:bookmarkStart w:id="4" w:name="QJ勾选"/>
            <w:r>
              <w:rPr>
                <w:rFonts w:hint="eastAsia"/>
                <w:sz w:val="22"/>
                <w:szCs w:val="22"/>
              </w:rPr>
              <w:t>□</w:t>
            </w:r>
            <w:bookmarkEnd w:id="4"/>
            <w:r>
              <w:rPr>
                <w:rFonts w:hint="eastAsia"/>
                <w:sz w:val="22"/>
                <w:szCs w:val="22"/>
              </w:rPr>
              <w:t xml:space="preserve"> GB/T 50430-2017 (不适用：  条款)；</w:t>
            </w:r>
          </w:p>
          <w:p>
            <w:pPr>
              <w:snapToGrid w:val="0"/>
              <w:spacing w:line="0" w:lineRule="atLeast"/>
              <w:jc w:val="left"/>
              <w:rPr>
                <w:sz w:val="22"/>
                <w:szCs w:val="22"/>
              </w:rPr>
            </w:pPr>
            <w:r>
              <w:rPr>
                <w:rFonts w:hint="eastAsia"/>
                <w:sz w:val="22"/>
                <w:szCs w:val="22"/>
              </w:rPr>
              <w:t>■ GB/T 24001-2016 idt ISO 14001:2015标准；</w:t>
            </w:r>
          </w:p>
          <w:p>
            <w:pPr>
              <w:snapToGrid w:val="0"/>
              <w:spacing w:line="0" w:lineRule="atLeast"/>
              <w:jc w:val="left"/>
              <w:rPr>
                <w:sz w:val="22"/>
                <w:szCs w:val="22"/>
              </w:rPr>
            </w:pPr>
            <w:r>
              <w:rPr>
                <w:rFonts w:hint="eastAsia"/>
                <w:sz w:val="22"/>
                <w:szCs w:val="22"/>
              </w:rPr>
              <w:t>■ GB/T 45001-2020 idt ISO 45001:2018标准；</w:t>
            </w:r>
          </w:p>
          <w:p>
            <w:pPr>
              <w:snapToGrid w:val="0"/>
              <w:spacing w:line="0" w:lineRule="atLeast"/>
              <w:jc w:val="left"/>
              <w:rPr>
                <w:sz w:val="22"/>
                <w:szCs w:val="22"/>
              </w:rPr>
            </w:pPr>
            <w:bookmarkStart w:id="5" w:name="EnMS勾选"/>
            <w:r>
              <w:rPr>
                <w:rFonts w:hint="eastAsia"/>
                <w:sz w:val="22"/>
                <w:szCs w:val="22"/>
              </w:rPr>
              <w:t>□</w:t>
            </w:r>
            <w:bookmarkEnd w:id="5"/>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6" w:name="F勾选"/>
            <w:r>
              <w:rPr>
                <w:rFonts w:hint="eastAsia"/>
                <w:sz w:val="22"/>
                <w:szCs w:val="22"/>
              </w:rPr>
              <w:t>□</w:t>
            </w:r>
            <w:bookmarkEnd w:id="6"/>
            <w:r>
              <w:rPr>
                <w:rFonts w:hint="eastAsia"/>
                <w:sz w:val="22"/>
                <w:szCs w:val="22"/>
              </w:rPr>
              <w:t>ISO 22000-2018</w:t>
            </w:r>
          </w:p>
          <w:p>
            <w:pPr>
              <w:snapToGrid w:val="0"/>
              <w:spacing w:line="0" w:lineRule="atLeast"/>
              <w:jc w:val="left"/>
              <w:rPr>
                <w:sz w:val="22"/>
                <w:szCs w:val="22"/>
              </w:rPr>
            </w:pPr>
            <w:bookmarkStart w:id="7" w:name="H勾选"/>
            <w:r>
              <w:rPr>
                <w:rFonts w:hint="eastAsia"/>
                <w:sz w:val="22"/>
                <w:szCs w:val="22"/>
              </w:rPr>
              <w:t>□</w:t>
            </w:r>
            <w:bookmarkEnd w:id="7"/>
            <w:r>
              <w:rPr>
                <w:rFonts w:hint="eastAsia"/>
                <w:sz w:val="22"/>
                <w:szCs w:val="22"/>
              </w:rPr>
              <w:t>GB/T 27341-2009&amp;GB 14881-2013&amp;危害分析与关键控制点（HACCP体系）认证补充要求 1.0</w:t>
            </w:r>
          </w:p>
        </w:tc>
        <w:tc>
          <w:tcPr>
            <w:tcW w:w="2305" w:type="dxa"/>
          </w:tcPr>
          <w:p>
            <w:pPr>
              <w:snapToGrid w:val="0"/>
              <w:spacing w:line="0" w:lineRule="atLeast"/>
              <w:jc w:val="center"/>
              <w:rPr>
                <w:sz w:val="22"/>
                <w:szCs w:val="22"/>
              </w:rPr>
            </w:pPr>
            <w:r>
              <w:rPr>
                <w:rFonts w:hint="eastAsia"/>
                <w:sz w:val="22"/>
                <w:szCs w:val="22"/>
              </w:rPr>
              <w:t>企业体系有效人数</w:t>
            </w:r>
          </w:p>
        </w:tc>
        <w:tc>
          <w:tcPr>
            <w:tcW w:w="2138" w:type="dxa"/>
            <w:gridSpan w:val="2"/>
          </w:tcPr>
          <w:p>
            <w:pPr>
              <w:snapToGrid w:val="0"/>
              <w:spacing w:line="0" w:lineRule="atLeast"/>
              <w:jc w:val="center"/>
              <w:rPr>
                <w:rFonts w:hint="default" w:eastAsia="宋体"/>
                <w:sz w:val="22"/>
                <w:szCs w:val="22"/>
                <w:lang w:val="en-US" w:eastAsia="zh-CN"/>
              </w:rPr>
            </w:pPr>
            <w:r>
              <w:rPr>
                <w:rFonts w:hint="eastAsia"/>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sz w:val="22"/>
                <w:szCs w:val="22"/>
              </w:rPr>
              <w:t>■</w:t>
            </w:r>
            <w:r>
              <w:rPr>
                <w:rFonts w:hint="eastAsia"/>
                <w:b/>
                <w:color w:val="000000" w:themeColor="text1"/>
                <w:sz w:val="22"/>
                <w:szCs w:val="22"/>
              </w:rPr>
              <w:t>地址变更</w:t>
            </w:r>
            <w:r>
              <w:rPr>
                <w:rFonts w:hint="eastAsia"/>
                <w:sz w:val="22"/>
                <w:szCs w:val="22"/>
              </w:rPr>
              <w:t>■</w:t>
            </w:r>
            <w:r>
              <w:rPr>
                <w:rFonts w:hint="eastAsia"/>
                <w:b/>
                <w:color w:val="000000" w:themeColor="text1"/>
                <w:sz w:val="22"/>
                <w:szCs w:val="22"/>
              </w:rPr>
              <w:t>认证范围变更（</w:t>
            </w:r>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7"/>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734" w:type="dxa"/>
          </w:tcPr>
          <w:p>
            <w:pPr>
              <w:snapToGrid w:val="0"/>
              <w:spacing w:line="0" w:lineRule="atLeast"/>
              <w:jc w:val="left"/>
              <w:rPr>
                <w:sz w:val="22"/>
                <w:szCs w:val="22"/>
              </w:rPr>
            </w:pPr>
            <w:r>
              <w:rPr>
                <w:rFonts w:hint="eastAsia"/>
                <w:sz w:val="22"/>
                <w:szCs w:val="22"/>
                <w:lang w:val="en-GB"/>
              </w:rPr>
              <w:t>中文公司名称及地址</w:t>
            </w:r>
          </w:p>
        </w:tc>
        <w:tc>
          <w:tcPr>
            <w:tcW w:w="5652"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734" w:type="dxa"/>
          </w:tcPr>
          <w:p>
            <w:pPr>
              <w:snapToGrid w:val="0"/>
              <w:spacing w:line="0" w:lineRule="atLeast"/>
              <w:jc w:val="left"/>
              <w:rPr>
                <w:sz w:val="22"/>
                <w:szCs w:val="22"/>
                <w:lang w:val="en-GB"/>
              </w:rPr>
            </w:pPr>
            <w:r>
              <w:rPr>
                <w:rFonts w:hint="eastAsia"/>
                <w:sz w:val="22"/>
                <w:szCs w:val="22"/>
              </w:rPr>
              <w:t>江西恒金智能科技有限公司</w:t>
            </w:r>
          </w:p>
        </w:tc>
        <w:tc>
          <w:tcPr>
            <w:tcW w:w="5652" w:type="dxa"/>
            <w:gridSpan w:val="4"/>
            <w:vMerge w:val="restart"/>
          </w:tcPr>
          <w:p>
            <w:pPr>
              <w:snapToGrid w:val="0"/>
              <w:spacing w:line="0" w:lineRule="atLeast"/>
              <w:jc w:val="left"/>
              <w:rPr>
                <w:rFonts w:hint="eastAsia"/>
                <w:sz w:val="22"/>
                <w:szCs w:val="22"/>
              </w:rPr>
            </w:pPr>
            <w:r>
              <w:rPr>
                <w:rFonts w:hint="eastAsia"/>
                <w:sz w:val="22"/>
                <w:szCs w:val="22"/>
              </w:rPr>
              <w:t>Q：智能书架、钢制书架、货架、智能密集架、智能枪弹柜、物证柜、银行专用业务库、靶场设备（战术靶、精度靶）、安防设备(无人机、无人机干扰拦截仪、排爆干扰仪、X射线安全检查设备、液体探测仪)、实验设备(实验室台(桌)、警用装备(防弹服、防刺服、防弹头盔、防爆盾牌、警棍、强光手电、执法记录仪、伸缩抓捕器、阻车路障器)的销售</w:t>
            </w:r>
          </w:p>
          <w:p>
            <w:pPr>
              <w:snapToGrid w:val="0"/>
              <w:spacing w:line="0" w:lineRule="atLeast"/>
              <w:jc w:val="left"/>
              <w:rPr>
                <w:rFonts w:hint="eastAsia" w:eastAsia="宋体"/>
                <w:sz w:val="22"/>
                <w:szCs w:val="22"/>
                <w:lang w:val="en-US" w:eastAsia="zh-CN"/>
              </w:rPr>
            </w:pPr>
            <w:r>
              <w:rPr>
                <w:rFonts w:hint="eastAsia"/>
                <w:sz w:val="22"/>
                <w:szCs w:val="22"/>
              </w:rPr>
              <w:t>E：智能书架、钢制书架、货架、智能密集架、智能枪弹柜、物证柜、银行专用业务库、靶场设备（战术靶、精度靶）、安防设备(无人机、无人机干扰拦截仪、排爆干扰仪、X射线安全检查设备、液体探测仪)、实验设备(实验室台(桌)、警用装备(防弹服、防刺服、防弹头盔、防爆盾牌、警棍、强光手电、执法记录仪、伸缩抓捕器、阻车路障器)的销售</w:t>
            </w:r>
            <w:r>
              <w:rPr>
                <w:rFonts w:hint="eastAsia"/>
                <w:sz w:val="22"/>
                <w:szCs w:val="22"/>
                <w:lang w:eastAsia="zh-CN"/>
              </w:rPr>
              <w:t>所涉及的相关环境管理活动</w:t>
            </w:r>
          </w:p>
          <w:p>
            <w:pPr>
              <w:snapToGrid w:val="0"/>
              <w:spacing w:line="0" w:lineRule="atLeast"/>
              <w:jc w:val="left"/>
              <w:rPr>
                <w:rFonts w:hint="eastAsia" w:eastAsia="宋体"/>
                <w:sz w:val="22"/>
                <w:szCs w:val="22"/>
                <w:lang w:eastAsia="zh-CN"/>
              </w:rPr>
            </w:pPr>
            <w:r>
              <w:rPr>
                <w:rFonts w:hint="eastAsia"/>
                <w:sz w:val="22"/>
                <w:szCs w:val="22"/>
              </w:rPr>
              <w:t>O：智能书架、钢制书架、货架、智能密集架、智能枪弹柜、物证柜、银行专用业务库、靶场设备（战术靶、精度靶）、安防设备(无人机、无人机干扰拦截仪、排爆干扰仪、X射线安全检查设备、液体探测仪)、实验设备(实验室台(桌)、警用装备(防弹服、防刺服、防弹头盔、防爆盾牌、警棍、强光手电、执法记录仪、伸缩抓捕器、阻车路障器)的销售</w:t>
            </w:r>
            <w:r>
              <w:rPr>
                <w:rFonts w:hint="eastAsia"/>
                <w:sz w:val="22"/>
                <w:szCs w:val="22"/>
                <w:lang w:eastAsia="zh-CN"/>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734" w:type="dxa"/>
          </w:tcPr>
          <w:p>
            <w:pPr>
              <w:snapToGrid w:val="0"/>
              <w:spacing w:line="0" w:lineRule="atLeast"/>
              <w:jc w:val="left"/>
              <w:rPr>
                <w:sz w:val="22"/>
                <w:szCs w:val="22"/>
              </w:rPr>
            </w:pPr>
            <w:r>
              <w:rPr>
                <w:rFonts w:hint="eastAsia"/>
                <w:sz w:val="22"/>
                <w:szCs w:val="22"/>
                <w:lang w:val="en-GB"/>
              </w:rPr>
              <w:t>江西省宜春市樟树市盐城大道与共和东路交叉路口南侧（锦绣江南）19-10号店面(自主承诺）</w:t>
            </w:r>
          </w:p>
        </w:tc>
        <w:tc>
          <w:tcPr>
            <w:tcW w:w="565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734" w:type="dxa"/>
          </w:tcPr>
          <w:p>
            <w:pPr>
              <w:snapToGrid w:val="0"/>
              <w:spacing w:line="0" w:lineRule="atLeast"/>
              <w:jc w:val="left"/>
              <w:rPr>
                <w:sz w:val="22"/>
                <w:szCs w:val="22"/>
              </w:rPr>
            </w:pPr>
            <w:r>
              <w:rPr>
                <w:rFonts w:hint="eastAsia"/>
                <w:sz w:val="22"/>
                <w:szCs w:val="22"/>
                <w:lang w:val="en-GB"/>
              </w:rPr>
              <w:t>江西省樟树市盐城大道与共和东路交叉路口南侧(锦绣江南)</w:t>
            </w:r>
          </w:p>
        </w:tc>
        <w:tc>
          <w:tcPr>
            <w:tcW w:w="565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734"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652"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734" w:type="dxa"/>
            <w:vMerge w:val="restart"/>
          </w:tcPr>
          <w:p>
            <w:pPr>
              <w:snapToGrid w:val="0"/>
              <w:spacing w:line="0" w:lineRule="atLeast"/>
              <w:jc w:val="left"/>
              <w:rPr>
                <w:sz w:val="22"/>
                <w:szCs w:val="22"/>
              </w:rPr>
            </w:pPr>
            <w:r>
              <w:rPr>
                <w:sz w:val="22"/>
                <w:szCs w:val="22"/>
                <w:lang w:val="en-US" w:eastAsia="zh-CN"/>
              </w:rPr>
              <w:t xml:space="preserve">Jiangxi Hengjin Intelligent Technology Co. , Ltd. </w:t>
            </w:r>
          </w:p>
          <w:p>
            <w:pPr>
              <w:snapToGrid w:val="0"/>
              <w:spacing w:line="0" w:lineRule="atLeast"/>
              <w:jc w:val="left"/>
              <w:rPr>
                <w:sz w:val="22"/>
                <w:szCs w:val="22"/>
              </w:rPr>
            </w:pPr>
          </w:p>
        </w:tc>
        <w:tc>
          <w:tcPr>
            <w:tcW w:w="1209" w:type="dxa"/>
          </w:tcPr>
          <w:p>
            <w:pPr>
              <w:snapToGrid w:val="0"/>
              <w:spacing w:line="0" w:lineRule="atLeast"/>
              <w:jc w:val="left"/>
              <w:rPr>
                <w:sz w:val="22"/>
                <w:szCs w:val="22"/>
              </w:rPr>
            </w:pPr>
            <w:r>
              <w:rPr>
                <w:rFonts w:hint="eastAsia"/>
                <w:sz w:val="22"/>
                <w:szCs w:val="22"/>
              </w:rPr>
              <w:t>QMS/EcMS</w:t>
            </w:r>
          </w:p>
        </w:tc>
        <w:tc>
          <w:tcPr>
            <w:tcW w:w="4443" w:type="dxa"/>
            <w:gridSpan w:val="3"/>
          </w:tcPr>
          <w:p>
            <w:pPr>
              <w:snapToGrid w:val="0"/>
              <w:spacing w:line="0" w:lineRule="atLeast"/>
              <w:jc w:val="left"/>
              <w:rPr>
                <w:sz w:val="21"/>
                <w:szCs w:val="16"/>
              </w:rPr>
            </w:pPr>
            <w:r>
              <w:rPr>
                <w:sz w:val="21"/>
                <w:szCs w:val="16"/>
                <w:lang w:val="en-US" w:eastAsia="zh-CN"/>
              </w:rPr>
              <w:t>Sales of smart bookshelves, steel bookshelves, shelves, smart dense shelves, smart gun and Ammunition Cabinets, evidence cabinets, bank specialized service depots, range equipment (tactical targets, precision targets) , security equipment (drones, UAV jamming interceptors, anti-detonation jammers, x-ray safety inspection equipment, liquid detectors) , laboratory equipment (tables) , police equipment (bullet-proof clothing, stab-proof clothing, bullet-proof helmets, explosion-proof shields, batons, strong light flashlights, law enforcement recorders, telescopic catchers, barricades)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2734" w:type="dxa"/>
            <w:vMerge w:val="continue"/>
          </w:tcPr>
          <w:p>
            <w:pPr>
              <w:snapToGrid w:val="0"/>
              <w:spacing w:line="0" w:lineRule="atLeast"/>
              <w:jc w:val="left"/>
              <w:rPr>
                <w:rFonts w:cs="Arial"/>
                <w:b/>
                <w:bCs/>
                <w:sz w:val="22"/>
                <w:szCs w:val="16"/>
              </w:rPr>
            </w:pPr>
          </w:p>
        </w:tc>
        <w:tc>
          <w:tcPr>
            <w:tcW w:w="1209" w:type="dxa"/>
          </w:tcPr>
          <w:p>
            <w:pPr>
              <w:snapToGrid w:val="0"/>
              <w:spacing w:line="0" w:lineRule="atLeast"/>
              <w:jc w:val="left"/>
              <w:rPr>
                <w:sz w:val="22"/>
                <w:szCs w:val="22"/>
              </w:rPr>
            </w:pPr>
            <w:r>
              <w:rPr>
                <w:rFonts w:hint="eastAsia"/>
                <w:sz w:val="22"/>
                <w:szCs w:val="22"/>
              </w:rPr>
              <w:t>EMS</w:t>
            </w:r>
          </w:p>
        </w:tc>
        <w:tc>
          <w:tcPr>
            <w:tcW w:w="4443" w:type="dxa"/>
            <w:gridSpan w:val="3"/>
          </w:tcPr>
          <w:p>
            <w:pPr>
              <w:snapToGrid w:val="0"/>
              <w:spacing w:line="0" w:lineRule="atLeast"/>
              <w:jc w:val="left"/>
              <w:rPr>
                <w:sz w:val="21"/>
                <w:szCs w:val="16"/>
              </w:rPr>
            </w:pPr>
            <w:r>
              <w:rPr>
                <w:sz w:val="21"/>
                <w:szCs w:val="16"/>
                <w:lang w:val="en-US" w:eastAsia="zh-CN"/>
              </w:rPr>
              <w:t xml:space="preserve">Relevant environmental management activities related to the sale of smart bookshelves, steel bookshelves, shelves, smart shelves, smart gun cabinets, evidence cabinets, bank specialized service depots, range equipment (tactical targets, precision targets) , security equipment (drones, drone jamming interceptors, anti-detonation jammers, x-ray safety inspection equipment, liquid detectors) , laboratory equipment (tables) , police equipment (bullet-proof clothing, stab-proof clothing, bullet-proof helmets, explosion-proof shields, batons, strong light flashlights, law enforcement recorders, telescopic catchers and road blockers)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734" w:type="dxa"/>
            <w:vMerge w:val="restart"/>
          </w:tcPr>
          <w:p>
            <w:pPr>
              <w:snapToGrid w:val="0"/>
              <w:spacing w:line="0" w:lineRule="atLeast"/>
              <w:jc w:val="left"/>
              <w:rPr>
                <w:sz w:val="22"/>
                <w:szCs w:val="22"/>
              </w:rPr>
            </w:pPr>
            <w:r>
              <w:rPr>
                <w:sz w:val="22"/>
                <w:szCs w:val="22"/>
                <w:lang w:val="en-US" w:eastAsia="zh-CN"/>
              </w:rPr>
              <w:t>Shop No. 19-10, south of the intersection of Yancheng Avenue and Republic East road, Zhangshu, Jiangxi Province (Jinxiu Jiangnan)(independent</w:t>
            </w:r>
            <w:r>
              <w:rPr>
                <w:rFonts w:hint="eastAsia"/>
                <w:sz w:val="22"/>
                <w:szCs w:val="22"/>
                <w:lang w:val="en-US" w:eastAsia="zh-CN"/>
              </w:rPr>
              <w:t xml:space="preserve"> </w:t>
            </w:r>
            <w:r>
              <w:rPr>
                <w:sz w:val="22"/>
                <w:szCs w:val="22"/>
                <w:lang w:val="en-US" w:eastAsia="zh-CN"/>
              </w:rPr>
              <w:t>commitment)</w:t>
            </w:r>
          </w:p>
        </w:tc>
        <w:tc>
          <w:tcPr>
            <w:tcW w:w="1209" w:type="dxa"/>
          </w:tcPr>
          <w:p>
            <w:pPr>
              <w:snapToGrid w:val="0"/>
              <w:spacing w:line="0" w:lineRule="atLeast"/>
              <w:jc w:val="left"/>
              <w:rPr>
                <w:sz w:val="22"/>
                <w:szCs w:val="22"/>
              </w:rPr>
            </w:pPr>
            <w:r>
              <w:rPr>
                <w:rFonts w:hint="eastAsia"/>
                <w:sz w:val="22"/>
                <w:szCs w:val="22"/>
              </w:rPr>
              <w:t>OHSMS</w:t>
            </w:r>
          </w:p>
        </w:tc>
        <w:tc>
          <w:tcPr>
            <w:tcW w:w="4443" w:type="dxa"/>
            <w:gridSpan w:val="3"/>
          </w:tcPr>
          <w:p>
            <w:pPr>
              <w:snapToGrid w:val="0"/>
              <w:spacing w:line="0" w:lineRule="atLeast"/>
              <w:jc w:val="left"/>
              <w:rPr>
                <w:sz w:val="22"/>
                <w:szCs w:val="22"/>
              </w:rPr>
            </w:pPr>
            <w:r>
              <w:rPr>
                <w:sz w:val="22"/>
                <w:szCs w:val="22"/>
                <w:lang w:val="en-US" w:eastAsia="zh-CN"/>
              </w:rPr>
              <w:t xml:space="preserve">Relevant occupational health and safety management activities related to the sale of smart bookshelves, steel bookshelves, shelves, smart shelves, Evidence Cabinets, Bank specialized stores, range equipment (tactical targets, precision targets) , security equipment (unmanned aerial vehicles, unmanned aerial vehicles interference interceptors, explosive ordnance disposal jammers, x-ray safety inspection equipment, liquid detectors) , laboratory equipment (tables) , police equipment (bullet-proof clothing, stab-proof clothing, bullet-proof helmets, explosion-proof shields, batons, strong light flashlights, law enforcement recording equipment, telescopic traps and road blockers) </w:t>
            </w:r>
          </w:p>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2734" w:type="dxa"/>
            <w:vMerge w:val="continue"/>
          </w:tcPr>
          <w:p>
            <w:pPr>
              <w:snapToGrid w:val="0"/>
              <w:spacing w:line="0" w:lineRule="atLeast"/>
              <w:jc w:val="left"/>
              <w:rPr>
                <w:rFonts w:cs="Arial"/>
                <w:b/>
                <w:bCs/>
                <w:sz w:val="22"/>
                <w:szCs w:val="16"/>
              </w:rPr>
            </w:pPr>
          </w:p>
        </w:tc>
        <w:tc>
          <w:tcPr>
            <w:tcW w:w="1209" w:type="dxa"/>
          </w:tcPr>
          <w:p>
            <w:pPr>
              <w:snapToGrid w:val="0"/>
              <w:spacing w:line="0" w:lineRule="atLeast"/>
              <w:jc w:val="left"/>
              <w:rPr>
                <w:sz w:val="22"/>
                <w:szCs w:val="22"/>
              </w:rPr>
            </w:pPr>
            <w:r>
              <w:rPr>
                <w:rFonts w:hint="eastAsia"/>
                <w:sz w:val="22"/>
                <w:szCs w:val="22"/>
              </w:rPr>
              <w:t>EnMS</w:t>
            </w:r>
          </w:p>
        </w:tc>
        <w:tc>
          <w:tcPr>
            <w:tcW w:w="4443"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734" w:type="dxa"/>
            <w:vMerge w:val="restart"/>
          </w:tcPr>
          <w:p>
            <w:pPr>
              <w:snapToGrid w:val="0"/>
              <w:spacing w:line="0" w:lineRule="atLeast"/>
              <w:jc w:val="left"/>
              <w:rPr>
                <w:sz w:val="22"/>
                <w:szCs w:val="22"/>
              </w:rPr>
            </w:pPr>
            <w:r>
              <w:rPr>
                <w:sz w:val="22"/>
                <w:szCs w:val="22"/>
                <w:lang w:val="en-US" w:eastAsia="zh-CN"/>
              </w:rPr>
              <w:t>South of the intersection of Yancheng Avenue and Republic East road, Zhangshu, Jiangxi Province (Jinxiu Jiangnan)</w:t>
            </w:r>
          </w:p>
        </w:tc>
        <w:tc>
          <w:tcPr>
            <w:tcW w:w="1209" w:type="dxa"/>
          </w:tcPr>
          <w:p>
            <w:pPr>
              <w:snapToGrid w:val="0"/>
              <w:spacing w:line="0" w:lineRule="atLeast"/>
              <w:jc w:val="left"/>
              <w:rPr>
                <w:sz w:val="22"/>
                <w:szCs w:val="22"/>
              </w:rPr>
            </w:pPr>
            <w:r>
              <w:rPr>
                <w:rFonts w:hint="eastAsia"/>
                <w:sz w:val="22"/>
                <w:szCs w:val="22"/>
              </w:rPr>
              <w:t>FSMS</w:t>
            </w:r>
          </w:p>
        </w:tc>
        <w:tc>
          <w:tcPr>
            <w:tcW w:w="4443"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2734" w:type="dxa"/>
            <w:vMerge w:val="continue"/>
          </w:tcPr>
          <w:p>
            <w:pPr>
              <w:snapToGrid w:val="0"/>
              <w:spacing w:line="0" w:lineRule="atLeast"/>
              <w:jc w:val="left"/>
              <w:rPr>
                <w:rFonts w:cs="Arial"/>
                <w:b/>
                <w:bCs/>
                <w:sz w:val="22"/>
                <w:szCs w:val="16"/>
              </w:rPr>
            </w:pPr>
          </w:p>
        </w:tc>
        <w:tc>
          <w:tcPr>
            <w:tcW w:w="1209" w:type="dxa"/>
          </w:tcPr>
          <w:p>
            <w:pPr>
              <w:snapToGrid w:val="0"/>
              <w:spacing w:line="0" w:lineRule="atLeast"/>
              <w:jc w:val="left"/>
              <w:rPr>
                <w:sz w:val="22"/>
                <w:szCs w:val="22"/>
              </w:rPr>
            </w:pPr>
            <w:r>
              <w:rPr>
                <w:rFonts w:hint="eastAsia"/>
                <w:sz w:val="22"/>
                <w:szCs w:val="22"/>
              </w:rPr>
              <w:t>HACCP</w:t>
            </w:r>
          </w:p>
        </w:tc>
        <w:tc>
          <w:tcPr>
            <w:tcW w:w="4443"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12" w:name="_GoBack"/>
            <w:r>
              <w:rPr>
                <w:rFonts w:hint="eastAsia" w:eastAsia="宋体"/>
                <w:b/>
                <w:color w:val="000000" w:themeColor="text1"/>
                <w:sz w:val="18"/>
                <w:szCs w:val="18"/>
                <w:lang w:val="en-GB" w:eastAsia="zh-CN"/>
              </w:rPr>
              <w:drawing>
                <wp:anchor distT="0" distB="0" distL="114300" distR="114300" simplePos="0" relativeHeight="251660288" behindDoc="0" locked="0" layoutInCell="1" allowOverlap="1">
                  <wp:simplePos x="0" y="0"/>
                  <wp:positionH relativeFrom="column">
                    <wp:posOffset>-692785</wp:posOffset>
                  </wp:positionH>
                  <wp:positionV relativeFrom="paragraph">
                    <wp:posOffset>-923925</wp:posOffset>
                  </wp:positionV>
                  <wp:extent cx="7597140" cy="10744200"/>
                  <wp:effectExtent l="0" t="0" r="3810" b="0"/>
                  <wp:wrapNone/>
                  <wp:docPr id="1" name="图片 1" descr="doc04599620220525162215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4599620220525162215_003"/>
                          <pic:cNvPicPr>
                            <a:picLocks noChangeAspect="1"/>
                          </pic:cNvPicPr>
                        </pic:nvPicPr>
                        <pic:blipFill>
                          <a:blip r:embed="rId5"/>
                          <a:stretch>
                            <a:fillRect/>
                          </a:stretch>
                        </pic:blipFill>
                        <pic:spPr>
                          <a:xfrm>
                            <a:off x="0" y="0"/>
                            <a:ext cx="7597140" cy="10744200"/>
                          </a:xfrm>
                          <a:prstGeom prst="rect">
                            <a:avLst/>
                          </a:prstGeom>
                        </pic:spPr>
                      </pic:pic>
                    </a:graphicData>
                  </a:graphic>
                </wp:anchor>
              </w:drawing>
            </w:r>
            <w:bookmarkEnd w:id="12"/>
            <w:r>
              <w:rPr>
                <w:rFonts w:hint="eastAsia" w:cs="Arial"/>
                <w:b/>
                <w:bCs/>
                <w:sz w:val="22"/>
                <w:szCs w:val="16"/>
              </w:rPr>
              <w:t>受审核方签章</w:t>
            </w:r>
          </w:p>
        </w:tc>
        <w:tc>
          <w:tcPr>
            <w:tcW w:w="2734"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4246" w:type="dxa"/>
            <w:gridSpan w:val="3"/>
          </w:tcPr>
          <w:p>
            <w:pPr>
              <w:snapToGrid w:val="0"/>
              <w:spacing w:line="0" w:lineRule="atLeast"/>
              <w:jc w:val="left"/>
              <w:rPr>
                <w:sz w:val="22"/>
                <w:szCs w:val="22"/>
              </w:rPr>
            </w:pPr>
            <w:r>
              <w:rPr>
                <w:rFonts w:hint="eastAsia"/>
                <w:sz w:val="22"/>
                <w:szCs w:val="18"/>
              </w:rPr>
              <w:t>审核组长签字</w:t>
            </w:r>
          </w:p>
        </w:tc>
        <w:tc>
          <w:tcPr>
            <w:tcW w:w="1406" w:type="dxa"/>
          </w:tcPr>
          <w:p>
            <w:pPr>
              <w:snapToGrid w:val="0"/>
              <w:spacing w:line="0" w:lineRule="atLeast"/>
              <w:jc w:val="left"/>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162560</wp:posOffset>
                  </wp:positionH>
                  <wp:positionV relativeFrom="paragraph">
                    <wp:posOffset>139700</wp:posOffset>
                  </wp:positionV>
                  <wp:extent cx="835025" cy="502920"/>
                  <wp:effectExtent l="0" t="0" r="3175" b="1143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5025" cy="502920"/>
                          </a:xfrm>
                          <a:prstGeom prst="rect">
                            <a:avLst/>
                          </a:prstGeom>
                          <a:noFill/>
                          <a:ln>
                            <a:noFill/>
                          </a:ln>
                        </pic:spPr>
                      </pic:pic>
                    </a:graphicData>
                  </a:graphic>
                </wp:anchor>
              </w:drawing>
            </w:r>
          </w:p>
        </w:tc>
      </w:tr>
    </w:tbl>
    <w:p>
      <w:pPr>
        <w:snapToGrid w:val="0"/>
        <w:spacing w:line="0" w:lineRule="atLeast"/>
        <w:jc w:val="center"/>
        <w:rPr>
          <w:szCs w:val="24"/>
        </w:rPr>
      </w:pPr>
    </w:p>
    <w:p>
      <w:pPr>
        <w:pStyle w:val="2"/>
        <w:spacing w:line="0" w:lineRule="atLeast"/>
        <w:ind w:firstLine="0"/>
        <w:rPr>
          <w:rFonts w:hint="eastAsia" w:eastAsia="宋体"/>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4"/>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0B900B0B"/>
    <w:rsid w:val="1A5B2985"/>
    <w:rsid w:val="20202389"/>
    <w:rsid w:val="25BF7D92"/>
    <w:rsid w:val="38756324"/>
    <w:rsid w:val="70A26316"/>
    <w:rsid w:val="751901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napToGrid w:val="0"/>
      <w:spacing w:line="336" w:lineRule="auto"/>
      <w:ind w:firstLine="630"/>
    </w:pPr>
    <w:rPr>
      <w:sz w:val="32"/>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sz w:val="24"/>
      <w:szCs w:val="24"/>
    </w:rPr>
  </w:style>
  <w:style w:type="character" w:styleId="10">
    <w:name w:val="Emphasis"/>
    <w:basedOn w:val="8"/>
    <w:qFormat/>
    <w:uiPriority w:val="20"/>
    <w:rPr>
      <w:color w:val="CC0000"/>
      <w:sz w:val="24"/>
      <w:szCs w:val="24"/>
    </w:rPr>
  </w:style>
  <w:style w:type="character" w:styleId="11">
    <w:name w:val="HTML Cite"/>
    <w:basedOn w:val="8"/>
    <w:semiHidden/>
    <w:unhideWhenUsed/>
    <w:uiPriority w:val="99"/>
    <w:rPr>
      <w:sz w:val="24"/>
      <w:szCs w:val="24"/>
    </w:rPr>
  </w:style>
  <w:style w:type="character" w:customStyle="1" w:styleId="12">
    <w:name w:val="正文文本缩进 Char"/>
    <w:basedOn w:val="8"/>
    <w:link w:val="2"/>
    <w:qFormat/>
    <w:uiPriority w:val="0"/>
    <w:rPr>
      <w:rFonts w:ascii="Times New Roman" w:hAnsi="Times New Roman" w:eastAsia="宋体" w:cs="Times New Roman"/>
      <w:sz w:val="32"/>
      <w:szCs w:val="20"/>
    </w:rPr>
  </w:style>
  <w:style w:type="character" w:customStyle="1" w:styleId="13">
    <w:name w:val="页眉 Char"/>
    <w:basedOn w:val="8"/>
    <w:link w:val="4"/>
    <w:qFormat/>
    <w:uiPriority w:val="99"/>
    <w:rPr>
      <w:rFonts w:ascii="Times New Roman" w:hAnsi="Times New Roman" w:eastAsia="宋体" w:cs="Times New Roman"/>
      <w:sz w:val="18"/>
      <w:szCs w:val="18"/>
    </w:rPr>
  </w:style>
  <w:style w:type="character" w:customStyle="1" w:styleId="14">
    <w:name w:val="页脚 Char"/>
    <w:basedOn w:val="8"/>
    <w:link w:val="3"/>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apple-converted-space"/>
    <w:basedOn w:val="8"/>
    <w:qFormat/>
    <w:uiPriority w:val="0"/>
  </w:style>
  <w:style w:type="paragraph" w:customStyle="1" w:styleId="17">
    <w:name w:val="Body 9pt Bold"/>
    <w:basedOn w:val="1"/>
    <w:qFormat/>
    <w:uiPriority w:val="0"/>
    <w:pPr>
      <w:ind w:left="170"/>
    </w:pPr>
    <w:rPr>
      <w:b/>
      <w:sz w:val="18"/>
    </w:rPr>
  </w:style>
  <w:style w:type="paragraph" w:customStyle="1" w:styleId="18">
    <w:name w:val="Body 8pt Feeder"/>
    <w:basedOn w:val="1"/>
    <w:next w:val="1"/>
    <w:qFormat/>
    <w:uiPriority w:val="0"/>
    <w:pPr>
      <w:spacing w:before="40" w:after="40"/>
      <w:ind w:left="284" w:right="284"/>
    </w:pPr>
    <w:rPr>
      <w:sz w:val="16"/>
    </w:rPr>
  </w:style>
  <w:style w:type="paragraph" w:customStyle="1" w:styleId="19">
    <w:name w:val="Body 7pt"/>
    <w:basedOn w:val="1"/>
    <w:qFormat/>
    <w:uiPriority w:val="0"/>
    <w:pPr>
      <w:spacing w:before="40" w:after="40"/>
      <w:jc w:val="left"/>
    </w:pPr>
    <w:rPr>
      <w:sz w:val="14"/>
    </w:rPr>
  </w:style>
  <w:style w:type="paragraph" w:customStyle="1" w:styleId="20">
    <w:name w:val="Body 9pt"/>
    <w:basedOn w:val="1"/>
    <w:qFormat/>
    <w:uiPriority w:val="0"/>
    <w:pPr>
      <w:spacing w:before="40" w:after="40"/>
    </w:pPr>
    <w:rPr>
      <w:sz w:val="18"/>
    </w:rPr>
  </w:style>
  <w:style w:type="paragraph" w:customStyle="1" w:styleId="21">
    <w:name w:val="Header 14pt Bold Centered"/>
    <w:basedOn w:val="1"/>
    <w:qFormat/>
    <w:uiPriority w:val="0"/>
    <w:pPr>
      <w:jc w:val="center"/>
    </w:pPr>
    <w:rPr>
      <w:b/>
      <w:sz w:val="28"/>
    </w:rPr>
  </w:style>
  <w:style w:type="paragraph" w:customStyle="1" w:styleId="22">
    <w:name w:val="content"/>
    <w:basedOn w:val="1"/>
    <w:qFormat/>
    <w:uiPriority w:val="0"/>
    <w:pPr>
      <w:spacing w:after="600" w:afterAutospacing="0" w:line="405" w:lineRule="atLeast"/>
      <w:jc w:val="left"/>
    </w:pPr>
    <w:rPr>
      <w:rFonts w:ascii="微软雅黑" w:hAnsi="微软雅黑" w:eastAsia="微软雅黑" w:cs="微软雅黑"/>
      <w:kern w:val="0"/>
      <w:sz w:val="36"/>
      <w:szCs w:val="3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1258</Words>
  <Characters>3273</Characters>
  <Lines>18</Lines>
  <Paragraphs>5</Paragraphs>
  <TotalTime>11</TotalTime>
  <ScaleCrop>false</ScaleCrop>
  <LinksUpToDate>false</LinksUpToDate>
  <CharactersWithSpaces>3671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2022-05-25T08:57:37Z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