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江西恒金智能科技有限公司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0287-2020-QEO-2022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江西省宜春市樟树市盐城大道与共和东路交叉路口南侧（锦绣江南）19-10号店面(自主承诺）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方亮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江西省樟树市盐城大道与共和东路交叉路口南侧(锦绣江南)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黄雪春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0795-7838886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19195085769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智能书架、钢制书架、货架、智能密集架、智能枪弹柜、物证柜、银行专用业务库、靶场设备（战术靶、精度靶）、安防设备(无人机、无人机干扰拦截仪、排爆干扰仪、X射线安全检查设备、液体探测仪)、实验设备(实验室台(桌)、警用装备(防弹服、防刺服、防弹头盔、防爆盾牌、警棍、强光手电、执法记录仪、伸缩抓捕器、阻车路障器)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书架、钢制书架、货架、智能密集架、智能枪弹柜、物证柜、银行专用业务库、靶场设备（战术靶、精度靶）、安防设备(无人机、无人机干扰拦截仪、排爆干扰仪、X射线安全检查设备、液体探测仪)、实验设备(实验室台(桌)、警用装备(防弹服、防刺服、防弹头盔、防爆盾牌、警棍、强光手电、执法记录仪、伸缩抓捕器、阻车路障器)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书架、钢制书架、货架、智能密集架、智能枪弹柜、物证柜、银行专用业务库、靶场设备（战术靶、精度靶）、安防设备(无人机、无人机干扰拦截仪、排爆干扰仪、X射线安全检查设备、液体探测仪)、实验设备(实验室台(桌)、警用装备(防弹服、防刺服、防弹头盔、防爆盾牌、警棍、强光手电、执法记录仪、伸缩抓捕器、阻车路障器)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1037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1775"/>
              <w:gridCol w:w="1163"/>
              <w:gridCol w:w="2602"/>
              <w:gridCol w:w="2795"/>
              <w:gridCol w:w="11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1" w:hRule="atLeast"/>
                <w:jc w:val="center"/>
              </w:trPr>
              <w:tc>
                <w:tcPr>
                  <w:tcW w:w="10377" w:type="dxa"/>
                  <w:gridSpan w:val="6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审核日程安排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96" w:hRule="atLeast"/>
                <w:jc w:val="center"/>
              </w:trPr>
              <w:tc>
                <w:tcPr>
                  <w:tcW w:w="846" w:type="dxa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77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2602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</w:t>
                  </w:r>
                </w:p>
              </w:tc>
              <w:tc>
                <w:tcPr>
                  <w:tcW w:w="2795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涉及条款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8" w:hRule="atLeast"/>
                <w:jc w:val="center"/>
              </w:trPr>
              <w:tc>
                <w:tcPr>
                  <w:tcW w:w="846" w:type="dxa"/>
                  <w:vMerge w:val="restart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5.23</w:t>
                  </w: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09:00-09:30</w:t>
                  </w:r>
                </w:p>
              </w:tc>
              <w:tc>
                <w:tcPr>
                  <w:tcW w:w="6560" w:type="dxa"/>
                  <w:gridSpan w:val="3"/>
                </w:tcPr>
                <w:p>
                  <w:pPr>
                    <w:spacing w:line="300" w:lineRule="exact"/>
                    <w:jc w:val="center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首次会议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6" w:hRule="atLeast"/>
                <w:jc w:val="center"/>
              </w:trPr>
              <w:tc>
                <w:tcPr>
                  <w:tcW w:w="846" w:type="dxa"/>
                  <w:vMerge w:val="continue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09:30-10:30</w:t>
                  </w:r>
                </w:p>
              </w:tc>
              <w:tc>
                <w:tcPr>
                  <w:tcW w:w="1163" w:type="dxa"/>
                </w:tcPr>
                <w:p>
                  <w:pPr>
                    <w:spacing w:line="30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管理层</w:t>
                  </w:r>
                </w:p>
              </w:tc>
              <w:tc>
                <w:tcPr>
                  <w:tcW w:w="5397" w:type="dxa"/>
                  <w:gridSpan w:val="2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Q：6.3变更的策划、8.3删减确认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O：5.4协商与参与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标准/规范/法规的执行情况、上次审核不符合项的验证、认证证书、标志的使用情况、投诉或事故、监督抽查情况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6" w:hRule="atLeast"/>
                <w:jc w:val="center"/>
              </w:trPr>
              <w:tc>
                <w:tcPr>
                  <w:tcW w:w="846" w:type="dxa"/>
                  <w:vMerge w:val="continue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10：30-17：30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12：00-12：30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default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  <w:tc>
                <w:tcPr>
                  <w:tcW w:w="1163" w:type="dxa"/>
                </w:tcPr>
                <w:p>
                  <w:pPr>
                    <w:spacing w:line="300" w:lineRule="exact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5397" w:type="dxa"/>
                  <w:gridSpan w:val="2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7.1.2人员、7.1.3基础设施、7.1.4过程运行环境、7.1.5监视和测量资源、7.1.6组织知识、7.2能力、7.3意识、7.5形成文件的信息、9.1.1监视、测量、分析和评价总则、9.1.3分析与评价、9.2内部审核、10.2不合格和纠正措施；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EMS/OHSMS：5.3组织的岗位、职责和权限、6.1.2环境因素/危险源辨识与评价识别与评价、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6.2环境/职业健康安全目标及实现目标措施的策划、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7.2能力、7.3意识、7.5形成文件的信息、9.1.1监视、测量、分析和评价总则、9.2内部审核、10.2不符合/事件和纠正措施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6" w:hRule="atLeast"/>
                <w:jc w:val="center"/>
              </w:trPr>
              <w:tc>
                <w:tcPr>
                  <w:tcW w:w="846" w:type="dxa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5.24</w:t>
                  </w: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09：00-17：30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12：00-12：30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  <w:tc>
                <w:tcPr>
                  <w:tcW w:w="1163" w:type="dxa"/>
                </w:tcPr>
                <w:p>
                  <w:pPr>
                    <w:spacing w:line="300" w:lineRule="exact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供销部</w:t>
                  </w:r>
                </w:p>
              </w:tc>
              <w:tc>
                <w:tcPr>
                  <w:tcW w:w="5397" w:type="dxa"/>
                  <w:gridSpan w:val="2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after="0" w:afterLines="0" w:line="240" w:lineRule="auto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QMS：5.3组织的岗位、职责和权限、6.2质量目标、8.1运行策划和控制、8.2产品和服务的要求、8.4外部提供过程、产品和服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务的控制、8.5销售服务过程控制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、8.6放行、8.7不合格品控制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9.1.1监测分析和评价、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9.1.2顾客满意</w:t>
                  </w:r>
                </w:p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EMS/OHSMS：5.3组织的岗位、职责和权限、6.2环境/职业健康安全目标及措施策划、6.1.2环境因素/危险源辨识与评价识别与评价、6.1.3合规义务、9.1.2合规性评价、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6.1.4控制措施的策划、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8.1运行策划和控制、8.2应急准备和响应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26" w:hRule="atLeast"/>
                <w:jc w:val="center"/>
              </w:trPr>
              <w:tc>
                <w:tcPr>
                  <w:tcW w:w="846" w:type="dxa"/>
                  <w:vMerge w:val="restart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default" w:ascii="宋体" w:hAnsi="宋体"/>
                      <w:b/>
                      <w:bCs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5.25</w:t>
                  </w: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09:00-16:30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12：00-12：30</w:t>
                  </w:r>
                </w:p>
                <w:p>
                  <w:pPr>
                    <w:snapToGrid w:val="0"/>
                    <w:spacing w:line="320" w:lineRule="exact"/>
                    <w:jc w:val="center"/>
                    <w:rPr>
                      <w:rFonts w:hint="default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午餐</w:t>
                  </w:r>
                </w:p>
              </w:tc>
              <w:tc>
                <w:tcPr>
                  <w:tcW w:w="1163" w:type="dxa"/>
                </w:tcPr>
                <w:p>
                  <w:pPr>
                    <w:spacing w:line="300" w:lineRule="exact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供销部</w:t>
                  </w:r>
                </w:p>
              </w:tc>
              <w:tc>
                <w:tcPr>
                  <w:tcW w:w="5397" w:type="dxa"/>
                  <w:gridSpan w:val="2"/>
                </w:tcPr>
                <w:p>
                  <w:pPr>
                    <w:spacing w:line="30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继续审核</w:t>
                  </w: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63" w:hRule="atLeast"/>
                <w:jc w:val="center"/>
              </w:trPr>
              <w:tc>
                <w:tcPr>
                  <w:tcW w:w="846" w:type="dxa"/>
                  <w:vMerge w:val="continue"/>
                  <w:tcBorders>
                    <w:lef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775" w:type="dxa"/>
                </w:tcPr>
                <w:p>
                  <w:pPr>
                    <w:snapToGrid w:val="0"/>
                    <w:spacing w:line="320" w:lineRule="exact"/>
                    <w:rPr>
                      <w:rFonts w:hint="default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16：30-17：30</w:t>
                  </w:r>
                </w:p>
              </w:tc>
              <w:tc>
                <w:tcPr>
                  <w:tcW w:w="1163" w:type="dxa"/>
                </w:tcPr>
                <w:p>
                  <w:pPr>
                    <w:spacing w:line="30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末次会议</w:t>
                  </w:r>
                </w:p>
              </w:tc>
              <w:tc>
                <w:tcPr>
                  <w:tcW w:w="5397" w:type="dxa"/>
                  <w:gridSpan w:val="2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196" w:type="dxa"/>
                  <w:tcBorders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关注文件和记录的管理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s1026" o:spid="_x0000_s1026" o:spt="75" alt="签名-褚敏杰" type="#_x0000_t75" style="position:absolute;left:0pt;margin-left:89.65pt;margin-top:8.7pt;height:39.6pt;width:65.7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hromakey="#FFFFFF" o:title="签名-褚敏杰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D0D6124"/>
    <w:rsid w:val="63FC1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2952</Words>
  <Characters>3399</Characters>
  <Lines>16</Lines>
  <Paragraphs>4</Paragraphs>
  <TotalTime>5</TotalTime>
  <ScaleCrop>false</ScaleCrop>
  <LinksUpToDate>false</LinksUpToDate>
  <CharactersWithSpaces>3923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2022-05-25T09:01:11Z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