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-492760</wp:posOffset>
            </wp:positionV>
            <wp:extent cx="7181850" cy="10363835"/>
            <wp:effectExtent l="0" t="0" r="6350" b="12065"/>
            <wp:wrapNone/>
            <wp:docPr id="1" name="图片 1" descr="扫描全能王 2022-05-24 08.07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5-24 08.07_8"/>
                    <pic:cNvPicPr>
                      <a:picLocks noChangeAspect="1"/>
                    </pic:cNvPicPr>
                  </pic:nvPicPr>
                  <pic:blipFill>
                    <a:blip r:embed="rId6"/>
                    <a:srcRect l="97" t="1402" r="-97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036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0058-2020-2022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78"/>
        <w:gridCol w:w="1255"/>
        <w:gridCol w:w="1151"/>
        <w:gridCol w:w="1070"/>
        <w:gridCol w:w="1687"/>
        <w:gridCol w:w="1708"/>
        <w:gridCol w:w="1099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2" w:type="dxa"/>
            <w:vAlign w:val="center"/>
          </w:tcPr>
          <w:p>
            <w:pPr>
              <w:ind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</w:t>
            </w:r>
          </w:p>
          <w:p>
            <w:pPr>
              <w:ind w:firstLine="180" w:firstLineChars="1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030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bookmarkStart w:id="1" w:name="组织名称"/>
            <w:r>
              <w:rPr>
                <w:rFonts w:hint="eastAsia"/>
                <w:sz w:val="18"/>
                <w:szCs w:val="18"/>
              </w:rPr>
              <w:t>陕西盛泰浩景建材有限公司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电子天平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3307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TC-10KB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eastAsia="zh-Hans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F</w:t>
            </w:r>
            <w:r>
              <w:rPr>
                <w:rFonts w:hint="default"/>
                <w:sz w:val="18"/>
                <w:szCs w:val="18"/>
                <w:vertAlign w:val="subscript"/>
                <w:lang w:eastAsia="zh-Hans"/>
              </w:rPr>
              <w:t>1</w:t>
            </w:r>
            <w:r>
              <w:rPr>
                <w:rFonts w:hint="default"/>
                <w:sz w:val="18"/>
                <w:szCs w:val="18"/>
                <w:lang w:eastAsia="zh-Hans"/>
              </w:rPr>
              <w:t>,F</w:t>
            </w:r>
            <w:r>
              <w:rPr>
                <w:rFonts w:hint="default"/>
                <w:sz w:val="18"/>
                <w:szCs w:val="18"/>
                <w:vertAlign w:val="subscript"/>
                <w:lang w:eastAsia="zh-Hans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砝码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压力试验机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0125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JYE-2000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应变式标准测力仪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电子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分析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天平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170111010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FA2004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rFonts w:hint="default"/>
                <w:sz w:val="18"/>
                <w:szCs w:val="18"/>
                <w:vertAlign w:val="subscript"/>
                <w:lang w:eastAsia="zh-Hans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砝码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21-6934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(0-200)mm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±0.02mm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eastAsia="zh-CN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bookmarkStart w:id="2" w:name="_GoBack"/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电液式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压力试验机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187290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DYE-300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应变式标准测力仪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水泥胶砂抗折实验机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TYE-6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Hans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应变式标准测力仪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电子天平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843227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JE2022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eastAsia="zh-Hans"/>
              </w:rPr>
              <w:t>F</w:t>
            </w:r>
            <w:r>
              <w:rPr>
                <w:rFonts w:hint="default"/>
                <w:sz w:val="18"/>
                <w:szCs w:val="18"/>
                <w:vertAlign w:val="subscript"/>
                <w:lang w:eastAsia="zh-Hans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砝码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混凝土渗透仪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12009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HP40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eastAsia="zh-CN"/>
              </w:rPr>
              <w:t>0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.</w:t>
            </w:r>
            <w:r>
              <w:rPr>
                <w:rFonts w:hint="default"/>
                <w:sz w:val="18"/>
                <w:szCs w:val="18"/>
                <w:lang w:eastAsia="zh-Hans"/>
              </w:rPr>
              <w:t>02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活塞压力计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2021.7.5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水称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120901330MDYH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MA04500\3000SDYH0-Z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/>
                <w:sz w:val="18"/>
                <w:szCs w:val="18"/>
                <w:vertAlign w:val="subscript"/>
                <w:lang w:eastAsia="zh-Hans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等级砝码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匠鑫检验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电子汽车衡</w:t>
            </w:r>
          </w:p>
        </w:tc>
        <w:tc>
          <w:tcPr>
            <w:tcW w:w="1255" w:type="dxa"/>
            <w:vAlign w:val="center"/>
          </w:tcPr>
          <w:p>
            <w:pPr>
              <w:ind w:firstLine="180" w:firstLineChars="1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21515012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SCS-100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级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default"/>
                <w:sz w:val="18"/>
                <w:szCs w:val="18"/>
                <w:vertAlign w:val="subscript"/>
                <w:lang w:eastAsia="zh-Hans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等级砝码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Hans"/>
              </w:rPr>
              <w:t>陕西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匠鑫检验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检测有限公司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2021.7.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1232" w:type="dxa"/>
            <w:gridSpan w:val="9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审核综合意見：</w:t>
            </w:r>
          </w:p>
          <w:p>
            <w:pPr>
              <w:spacing w:line="360" w:lineRule="auto"/>
              <w:ind w:firstLine="360" w:firstLineChars="20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公司已制定《计量确认管理程序》、《外部供方管理程序》，《测量设备溯源管理程序》，公司（未）建最高计量标准，测量设备由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  <w:r>
              <w:rPr>
                <w:rFonts w:hint="eastAsia"/>
                <w:sz w:val="18"/>
                <w:szCs w:val="18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陕西力源设备检测有限公司和陕西匠鑫检测有限公司</w:t>
            </w:r>
            <w:r>
              <w:rPr>
                <w:rFonts w:hint="eastAsia"/>
                <w:sz w:val="18"/>
                <w:szCs w:val="18"/>
              </w:rPr>
              <w:t>等机构检定/校准，校准/检定证书由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试验室</w:t>
            </w:r>
            <w:r>
              <w:rPr>
                <w:rFonts w:hint="eastAsia"/>
                <w:sz w:val="18"/>
                <w:szCs w:val="18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232" w:type="dxa"/>
            <w:gridSpan w:val="9"/>
          </w:tcPr>
          <w:p>
            <w:pPr>
              <w:spacing w:line="480" w:lineRule="auto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 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 xml:space="preserve"> 日~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/>
                <w:sz w:val="18"/>
                <w:szCs w:val="18"/>
              </w:rPr>
              <w:t xml:space="preserve"> 日 </w:t>
            </w:r>
          </w:p>
          <w:p>
            <w:pPr>
              <w:spacing w:line="480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审核员签字：                               部门代表签字： </w:t>
            </w:r>
          </w:p>
        </w:tc>
      </w:tr>
    </w:tbl>
    <w:p/>
    <w:p>
      <w:pPr>
        <w:ind w:firstLine="360" w:firstLineChars="200"/>
        <w:jc w:val="left"/>
        <w:rPr>
          <w:rFonts w:hint="eastAsia"/>
          <w:sz w:val="18"/>
          <w:szCs w:val="18"/>
          <w:lang w:val="en-US" w:eastAsia="zh-Hans"/>
        </w:rPr>
      </w:pPr>
      <w:r>
        <w:rPr>
          <w:rFonts w:hint="eastAsia"/>
          <w:sz w:val="18"/>
          <w:szCs w:val="18"/>
          <w:lang w:val="en-US" w:eastAsia="zh-Hans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45C4C5C"/>
    <w:rsid w:val="76F73CF6"/>
    <w:rsid w:val="7AB83857"/>
    <w:rsid w:val="7F7B6937"/>
    <w:rsid w:val="7FFF5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642</Words>
  <Characters>878</Characters>
  <Lines>3</Lines>
  <Paragraphs>1</Paragraphs>
  <TotalTime>1</TotalTime>
  <ScaleCrop>false</ScaleCrop>
  <LinksUpToDate>false</LinksUpToDate>
  <CharactersWithSpaces>915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2015-11-03T06:51:00Z</dcterms:created>
  <dc:creator>alexander chang</dc:creator>
  <cp:lastModifiedBy>LIL</cp:lastModifiedBy>
  <dcterms:modified xsi:type="dcterms:W3CDTF">2022-05-24T12:11:41Z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CC299B14CB7F99174E078A629DECEF30</vt:lpwstr>
  </property>
</Properties>
</file>