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0510-2021-EnMS-2022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宁波喜悦智行科技股份有限公司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R197EnMS210024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91330282768537876J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ascii="Times New Roman" w:hAnsi="Times New Roman" w:eastAsia="宋体" w:cs="Times New Roman"/>
              </w:rPr>
              <w:t>RB/T114-2014《能源管理体系 纯碱、焦化、橡塑制品、制药等化工企业认证要求》</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150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宁波喜悦智行科技股份有限公司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吸塑产品、注塑产品、压铸产品、围板产品、中空板、蜂窝板产品的设计、生产和销售所涉及的能源管理活动。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浙江省慈溪市桥头镇吴山南路1111号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lang w:val="en-US" w:eastAsia="zh-CN"/>
              </w:rPr>
            </w:pPr>
            <w:bookmarkStart w:id="19" w:name="办公地址"/>
            <w:r>
              <w:rPr>
                <w:rFonts w:hint="eastAsia"/>
                <w:sz w:val="22"/>
                <w:szCs w:val="22"/>
                <w:lang w:val="en-GB"/>
              </w:rPr>
              <w:t>浙江省慈溪市桥头镇吴山南路1111</w:t>
            </w:r>
            <w:bookmarkStart w:id="23" w:name="_GoBack"/>
            <w:bookmarkEnd w:id="23"/>
            <w:r>
              <w:rPr>
                <w:rFonts w:hint="eastAsia"/>
                <w:sz w:val="22"/>
                <w:szCs w:val="22"/>
                <w:lang w:val="en-GB"/>
              </w:rPr>
              <w:t>号</w:t>
            </w:r>
            <w:bookmarkEnd w:id="19"/>
            <w:r>
              <w:rPr>
                <w:rFonts w:hint="eastAsia"/>
                <w:sz w:val="22"/>
                <w:szCs w:val="22"/>
                <w:lang w:val="en-US" w:eastAsia="zh-CN"/>
              </w:rPr>
              <w:t>/</w:t>
            </w:r>
            <w:r>
              <w:rPr>
                <w:rFonts w:hint="eastAsia"/>
                <w:sz w:val="22"/>
                <w:szCs w:val="22"/>
                <w:lang w:val="en-GB"/>
              </w:rPr>
              <w:t xml:space="preserve"> 浙江省慈溪市桥头镇智翔路188、199号</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宁波喜悦智行科技股份有限公司</w:t>
      </w:r>
      <w:bookmarkEnd w:id="20"/>
      <w:r>
        <w:rPr>
          <w:rFonts w:hint="eastAsia"/>
          <w:b/>
          <w:color w:val="000000" w:themeColor="text1"/>
          <w:sz w:val="22"/>
          <w:szCs w:val="22"/>
        </w:rPr>
        <w:t>证书注册号：</w:t>
      </w:r>
      <w:bookmarkStart w:id="21" w:name="证书编号Add1"/>
      <w:r>
        <w:rPr>
          <w:b/>
          <w:color w:val="000000" w:themeColor="text1"/>
          <w:sz w:val="22"/>
          <w:szCs w:val="22"/>
        </w:rPr>
        <w:t>R197EnMS210024</w:t>
      </w:r>
      <w:bookmarkEnd w:id="21"/>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浙江省慈溪市桥头镇吴山南路1111号/ 浙江省慈溪市桥头镇智翔路188、199号</w:t>
      </w:r>
      <w:bookmarkEnd w:id="22"/>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rFonts w:hint="eastAsia" w:ascii="Times New Roman" w:hAnsi="Times New Roman" w:eastAsia="宋体" w:cs="Times New Roman"/>
          <w:b/>
          <w:color w:val="000000" w:themeColor="text1"/>
          <w:sz w:val="22"/>
          <w:szCs w:val="22"/>
        </w:rPr>
      </w:pPr>
      <w:r>
        <w:rPr>
          <w:rFonts w:hint="eastAsia"/>
          <w:b/>
          <w:color w:val="000000" w:themeColor="text1"/>
          <w:sz w:val="22"/>
          <w:szCs w:val="22"/>
        </w:rPr>
        <w:t>&amp;</w:t>
      </w:r>
      <w:r>
        <w:rPr>
          <w:rFonts w:hint="eastAsia" w:ascii="Times New Roman" w:hAnsi="Times New Roman" w:eastAsia="宋体" w:cs="Times New Roman"/>
          <w:b/>
          <w:color w:val="000000" w:themeColor="text1"/>
          <w:sz w:val="22"/>
          <w:szCs w:val="22"/>
        </w:rPr>
        <w:t>RB/T114-2014《能源管理体系 纯碱、焦化、橡塑制品、制药等化工企业认证要求》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6</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lang w:val="en-US" w:eastAsia="zh-CN"/>
              </w:rPr>
              <w:t>13</w:t>
            </w:r>
            <w:r>
              <w:rPr>
                <w:rFonts w:hint="eastAsia"/>
                <w:sz w:val="20"/>
                <w:szCs w:val="22"/>
              </w:rPr>
              <w:t>-</w:t>
            </w:r>
            <w:r>
              <w:rPr>
                <w:rFonts w:hint="eastAsia"/>
                <w:sz w:val="20"/>
                <w:szCs w:val="22"/>
                <w:lang w:val="en-US" w:eastAsia="zh-CN"/>
              </w:rPr>
              <w:t>15</w:t>
            </w:r>
          </w:p>
        </w:tc>
        <w:tc>
          <w:tcPr>
            <w:tcW w:w="4735" w:type="dxa"/>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numPr>
                <w:ilvl w:val="0"/>
                <w:numId w:val="0"/>
              </w:numPr>
              <w:spacing w:line="400" w:lineRule="exact"/>
              <w:jc w:val="both"/>
              <w:rPr>
                <w:rFonts w:hint="eastAsia" w:eastAsia="宋体"/>
                <w:b w:val="0"/>
                <w:bCs/>
                <w:color w:val="000000"/>
                <w:sz w:val="22"/>
                <w:szCs w:val="22"/>
                <w:lang w:val="en-US" w:eastAsia="zh-CN"/>
              </w:rPr>
            </w:pPr>
            <w:r>
              <w:rPr>
                <w:rFonts w:hint="eastAsia"/>
                <w:b w:val="0"/>
                <w:bCs/>
                <w:color w:val="000000"/>
                <w:sz w:val="22"/>
                <w:szCs w:val="22"/>
                <w:lang w:val="en-US" w:eastAsia="zh-CN"/>
              </w:rPr>
              <w:t>1、</w:t>
            </w:r>
            <w:r>
              <w:rPr>
                <w:rFonts w:hint="eastAsia"/>
                <w:b w:val="0"/>
                <w:bCs/>
                <w:color w:val="000000"/>
                <w:sz w:val="22"/>
                <w:szCs w:val="22"/>
              </w:rPr>
              <w:t>浙江省慈溪市桥头镇吴山南路1111号</w:t>
            </w:r>
            <w:r>
              <w:rPr>
                <w:rFonts w:hint="eastAsia"/>
                <w:b w:val="0"/>
                <w:bCs/>
                <w:color w:val="000000"/>
                <w:sz w:val="22"/>
                <w:szCs w:val="22"/>
                <w:lang w:val="en-US" w:eastAsia="zh-CN"/>
              </w:rPr>
              <w:t>.</w:t>
            </w:r>
          </w:p>
          <w:p>
            <w:pPr>
              <w:pStyle w:val="3"/>
              <w:numPr>
                <w:ilvl w:val="0"/>
                <w:numId w:val="0"/>
              </w:numPr>
              <w:spacing w:line="400" w:lineRule="exact"/>
              <w:jc w:val="both"/>
              <w:rPr>
                <w:rFonts w:hint="eastAsia" w:ascii="Times New Roman" w:hAnsi="Times New Roman" w:eastAsia="宋体" w:cs="Times New Roman"/>
                <w:b w:val="0"/>
                <w:bCs/>
                <w:sz w:val="20"/>
                <w:szCs w:val="22"/>
                <w:lang w:val="en-US" w:eastAsia="zh-CN"/>
              </w:rPr>
            </w:pPr>
            <w:r>
              <w:rPr>
                <w:rFonts w:hint="eastAsia"/>
                <w:b w:val="0"/>
                <w:bCs/>
                <w:color w:val="000000"/>
                <w:sz w:val="22"/>
                <w:szCs w:val="22"/>
                <w:lang w:val="en-US" w:eastAsia="zh-CN"/>
              </w:rPr>
              <w:t>2、</w:t>
            </w:r>
            <w:r>
              <w:rPr>
                <w:rFonts w:hint="eastAsia"/>
                <w:b w:val="0"/>
                <w:bCs/>
                <w:color w:val="000000"/>
                <w:sz w:val="22"/>
                <w:szCs w:val="22"/>
              </w:rPr>
              <w:t>浙江省慈溪市桥头镇智翔路188、199</w:t>
            </w:r>
            <w:r>
              <w:rPr>
                <w:rFonts w:hint="eastAsia"/>
                <w:b w:val="0"/>
                <w:bCs/>
                <w:color w:val="000000"/>
                <w:sz w:val="22"/>
                <w:szCs w:val="22"/>
                <w:lang w:val="en-US" w:eastAsia="zh-CN"/>
              </w:rPr>
              <w:t>号.</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vAlign w:val="top"/>
          </w:tcPr>
          <w:p>
            <w:pPr>
              <w:pStyle w:val="3"/>
              <w:spacing w:line="320" w:lineRule="exact"/>
              <w:ind w:firstLine="0" w:firstLineChars="0"/>
              <w:rPr>
                <w:rFonts w:ascii="宋体" w:hAnsi="宋体"/>
                <w:b/>
                <w:color w:val="000000" w:themeColor="text1"/>
                <w:szCs w:val="24"/>
              </w:rPr>
            </w:pPr>
            <w:r>
              <w:rPr>
                <w:rFonts w:hint="eastAsia"/>
                <w:b/>
                <w:bCs/>
                <w:sz w:val="20"/>
                <w:lang w:val="en-US" w:eastAsia="zh-CN"/>
              </w:rPr>
              <w:t>产量：583407个 ； 产值：22441</w:t>
            </w:r>
            <w:r>
              <w:rPr>
                <w:rFonts w:hint="eastAsia"/>
                <w:sz w:val="20"/>
                <w:lang w:val="en-US" w:eastAsia="zh-CN"/>
              </w:rPr>
              <w:t>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sz w:val="20"/>
                <w:szCs w:val="22"/>
              </w:rPr>
            </w:pPr>
          </w:p>
        </w:tc>
        <w:tc>
          <w:tcPr>
            <w:tcW w:w="4735" w:type="dxa"/>
            <w:vAlign w:val="top"/>
          </w:tcPr>
          <w:p>
            <w:pPr>
              <w:pStyle w:val="3"/>
              <w:spacing w:line="320" w:lineRule="exact"/>
              <w:ind w:firstLine="0" w:firstLineChars="0"/>
              <w:rPr>
                <w:rFonts w:ascii="宋体" w:hAnsi="宋体"/>
                <w:b/>
                <w:color w:val="000000" w:themeColor="text1"/>
                <w:szCs w:val="24"/>
              </w:rPr>
            </w:pPr>
            <w:r>
              <w:rPr>
                <w:rFonts w:hint="eastAsia" w:ascii="Times New Roman" w:hAnsi="Times New Roman" w:eastAsia="宋体" w:cs="Times New Roman"/>
                <w:kern w:val="2"/>
                <w:sz w:val="20"/>
                <w:szCs w:val="22"/>
                <w:lang w:val="zh-CN" w:eastAsia="zh-CN" w:bidi="ar-SA"/>
              </w:rPr>
              <w:t>综合能耗：</w:t>
            </w:r>
            <w:r>
              <w:rPr>
                <w:rFonts w:hint="eastAsia" w:cs="Times New Roman"/>
                <w:kern w:val="2"/>
                <w:sz w:val="20"/>
                <w:szCs w:val="22"/>
                <w:lang w:val="en-US" w:eastAsia="zh-CN" w:bidi="ar-SA"/>
              </w:rPr>
              <w:t xml:space="preserve"> 893.544</w:t>
            </w:r>
            <w:r>
              <w:rPr>
                <w:rFonts w:hint="eastAsia" w:ascii="宋体" w:hAnsi="宋体" w:eastAsia="宋体" w:cs="宋体"/>
                <w:i w:val="0"/>
                <w:iCs w:val="0"/>
                <w:color w:val="000000"/>
                <w:kern w:val="0"/>
                <w:sz w:val="24"/>
                <w:szCs w:val="24"/>
                <w:u w:val="none"/>
                <w:lang w:val="en-US" w:eastAsia="zh-CN" w:bidi="ar"/>
              </w:rPr>
              <w:t>tce</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sz w:val="20"/>
                <w:szCs w:val="22"/>
              </w:rPr>
            </w:pPr>
          </w:p>
        </w:tc>
        <w:tc>
          <w:tcPr>
            <w:tcW w:w="4735" w:type="dxa"/>
            <w:vAlign w:val="top"/>
          </w:tcPr>
          <w:p>
            <w:pPr>
              <w:rPr>
                <w:rFonts w:hint="eastAsia"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单位产品能耗： 1.5315kgce/</w:t>
            </w:r>
            <w:r>
              <w:rPr>
                <w:rFonts w:hint="eastAsia" w:cs="Times New Roman"/>
                <w:kern w:val="2"/>
                <w:sz w:val="20"/>
                <w:szCs w:val="22"/>
                <w:lang w:val="en-US" w:eastAsia="zh-CN" w:bidi="ar-SA"/>
              </w:rPr>
              <w:t>个</w:t>
            </w:r>
            <w:r>
              <w:rPr>
                <w:rFonts w:hint="eastAsia" w:ascii="Times New Roman" w:hAnsi="Times New Roman" w:eastAsia="宋体" w:cs="Times New Roman"/>
                <w:kern w:val="2"/>
                <w:sz w:val="20"/>
                <w:szCs w:val="22"/>
                <w:lang w:val="en-US" w:eastAsia="zh-CN" w:bidi="ar-SA"/>
              </w:rPr>
              <w:t xml:space="preserve"> ；</w:t>
            </w:r>
          </w:p>
          <w:p>
            <w:pPr>
              <w:pStyle w:val="2"/>
              <w:rPr>
                <w:rFonts w:ascii="宋体" w:hAnsi="宋体"/>
                <w:b/>
                <w:color w:val="000000" w:themeColor="text1"/>
                <w:szCs w:val="24"/>
              </w:rPr>
            </w:pPr>
            <w:r>
              <w:rPr>
                <w:rFonts w:hint="eastAsia" w:ascii="Times New Roman" w:hAnsi="Times New Roman" w:eastAsia="宋体" w:cs="Times New Roman"/>
                <w:kern w:val="2"/>
                <w:sz w:val="20"/>
                <w:szCs w:val="22"/>
                <w:lang w:val="en-US" w:eastAsia="zh-CN" w:bidi="ar-SA"/>
              </w:rPr>
              <w:t>万元产值能耗：39.8174kgce/万元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sz w:val="20"/>
                <w:szCs w:val="22"/>
              </w:rPr>
            </w:pPr>
          </w:p>
        </w:tc>
        <w:tc>
          <w:tcPr>
            <w:tcW w:w="4735" w:type="dxa"/>
            <w:vAlign w:val="top"/>
          </w:tcPr>
          <w:p>
            <w:pPr>
              <w:rPr>
                <w:rFonts w:hint="eastAsia"/>
                <w:sz w:val="20"/>
                <w:szCs w:val="22"/>
                <w:lang w:val="en-US" w:eastAsia="zh-CN"/>
              </w:rPr>
            </w:pPr>
            <w:r>
              <w:rPr>
                <w:rFonts w:hint="eastAsia"/>
                <w:b/>
                <w:bCs/>
                <w:sz w:val="20"/>
                <w:szCs w:val="22"/>
                <w:lang w:val="en-US" w:eastAsia="zh-CN"/>
              </w:rPr>
              <w:t>节能量（万吨标准煤）：</w:t>
            </w:r>
          </w:p>
          <w:p>
            <w:pPr>
              <w:rPr>
                <w:sz w:val="20"/>
                <w:szCs w:val="22"/>
              </w:rPr>
            </w:pPr>
            <w:r>
              <w:rPr>
                <w:rFonts w:hint="eastAsia" w:ascii="Times New Roman" w:hAnsi="Times New Roman" w:eastAsia="宋体" w:cs="Times New Roman"/>
                <w:kern w:val="2"/>
                <w:sz w:val="20"/>
                <w:szCs w:val="22"/>
                <w:lang w:val="en-US" w:eastAsia="zh-CN" w:bidi="ar-SA"/>
              </w:rPr>
              <w:t>地方政府未下达指标</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07</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09</w:t>
            </w:r>
            <w:r>
              <w:rPr>
                <w:rFonts w:hint="eastAsia"/>
                <w:sz w:val="20"/>
                <w:szCs w:val="22"/>
                <w:u w:val="single"/>
              </w:rPr>
              <w:t>~</w:t>
            </w:r>
            <w:r>
              <w:rPr>
                <w:rFonts w:hint="eastAsia"/>
                <w:sz w:val="20"/>
                <w:szCs w:val="22"/>
                <w:u w:val="single"/>
                <w:lang w:val="en-US" w:eastAsia="zh-CN"/>
              </w:rPr>
              <w:t>10</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spacing w:line="320" w:lineRule="exact"/>
              <w:ind w:firstLine="0"/>
              <w:rPr>
                <w:rFonts w:hint="eastAsia"/>
                <w:b w:val="0"/>
                <w:bCs/>
                <w:color w:val="000000"/>
                <w:sz w:val="22"/>
                <w:szCs w:val="22"/>
                <w:lang w:val="en-US" w:eastAsia="zh-CN"/>
              </w:rPr>
            </w:pPr>
            <w:r>
              <w:rPr>
                <w:rFonts w:hint="eastAsia"/>
                <w:b w:val="0"/>
                <w:bCs/>
                <w:color w:val="000000"/>
                <w:sz w:val="22"/>
                <w:szCs w:val="22"/>
                <w:lang w:val="en-US" w:eastAsia="zh-CN"/>
              </w:rPr>
              <w:t>边界：浙江省慈溪市桥头镇吴山南路1111号、智翔路189号、199号。</w:t>
            </w:r>
          </w:p>
          <w:p>
            <w:pPr>
              <w:pStyle w:val="3"/>
              <w:spacing w:line="320" w:lineRule="exact"/>
              <w:ind w:firstLine="0"/>
              <w:rPr>
                <w:rFonts w:hint="default"/>
                <w:b w:val="0"/>
                <w:bCs/>
                <w:color w:val="000000"/>
                <w:sz w:val="22"/>
                <w:szCs w:val="22"/>
                <w:lang w:val="en-US" w:eastAsia="zh-CN"/>
              </w:rPr>
            </w:pPr>
            <w:r>
              <w:rPr>
                <w:rFonts w:hint="eastAsia"/>
                <w:b w:val="0"/>
                <w:bCs/>
                <w:color w:val="000000"/>
                <w:sz w:val="22"/>
                <w:szCs w:val="22"/>
                <w:lang w:val="en-US" w:eastAsia="zh-CN"/>
              </w:rPr>
              <w:t>主要用能系统：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hint="default" w:eastAsia="宋体"/>
                <w:b/>
                <w:bCs/>
                <w:sz w:val="20"/>
                <w:lang w:val="en-US" w:eastAsia="zh-CN"/>
              </w:rPr>
            </w:pPr>
            <w:r>
              <w:rPr>
                <w:rFonts w:hint="eastAsia"/>
                <w:b/>
                <w:bCs/>
                <w:sz w:val="20"/>
              </w:rPr>
              <w:t>产量：</w:t>
            </w:r>
            <w:r>
              <w:rPr>
                <w:rFonts w:hint="eastAsia"/>
                <w:b/>
                <w:bCs/>
                <w:sz w:val="20"/>
                <w:lang w:val="en-US" w:eastAsia="zh-CN"/>
              </w:rPr>
              <w:t>4910675个</w:t>
            </w:r>
          </w:p>
          <w:p>
            <w:pPr>
              <w:pStyle w:val="3"/>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bCs/>
                <w:sz w:val="20"/>
                <w:lang w:val="en-US" w:eastAsia="zh-CN"/>
              </w:rPr>
              <w:t>39744.92</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1508.57</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tcPr>
          <w:p>
            <w:pPr>
              <w:rPr>
                <w:rFonts w:hint="eastAsia" w:ascii="Times New Roman" w:hAnsi="Times New Roman" w:eastAsia="宋体" w:cs="Times New Roman"/>
                <w:kern w:val="2"/>
                <w:sz w:val="20"/>
                <w:szCs w:val="22"/>
                <w:lang w:val="en-US" w:eastAsia="zh-CN" w:bidi="ar-SA"/>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单位产品综合能耗：0.307kgce/</w:t>
            </w:r>
            <w:r>
              <w:rPr>
                <w:rFonts w:hint="eastAsia" w:cs="Times New Roman"/>
                <w:kern w:val="2"/>
                <w:sz w:val="20"/>
                <w:szCs w:val="22"/>
                <w:lang w:val="en-US" w:eastAsia="zh-CN" w:bidi="ar-SA"/>
              </w:rPr>
              <w:t>个</w:t>
            </w:r>
            <w:r>
              <w:rPr>
                <w:rFonts w:hint="eastAsia" w:ascii="Times New Roman" w:hAnsi="Times New Roman" w:eastAsia="宋体" w:cs="Times New Roman"/>
                <w:kern w:val="2"/>
                <w:sz w:val="20"/>
                <w:szCs w:val="22"/>
                <w:lang w:val="en-US" w:eastAsia="zh-CN" w:bidi="ar-SA"/>
              </w:rPr>
              <w:t xml:space="preserve"> ；</w:t>
            </w:r>
          </w:p>
          <w:p>
            <w:pPr>
              <w:ind w:firstLine="1000" w:firstLineChars="500"/>
              <w:rPr>
                <w:b/>
                <w:bCs/>
                <w:sz w:val="20"/>
                <w:szCs w:val="22"/>
              </w:rPr>
            </w:pPr>
            <w:r>
              <w:rPr>
                <w:rFonts w:hint="eastAsia" w:ascii="Times New Roman" w:hAnsi="Times New Roman" w:eastAsia="宋体" w:cs="Times New Roman"/>
                <w:kern w:val="2"/>
                <w:sz w:val="20"/>
                <w:szCs w:val="22"/>
                <w:lang w:val="en-US" w:eastAsia="zh-CN" w:bidi="ar-SA"/>
              </w:rPr>
              <w:t>万元产值能耗：37.956kgce/万元</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F41EA8"/>
    <w:rsid w:val="33903CF8"/>
    <w:rsid w:val="48BB2A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2022-07-20T08:11:46Z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2052-11.1.0.11435</vt:lpwstr>
  </property>
</Properties>
</file>