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不符合项原因分析报告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不符合项描述：2022年1-5月的单位产值能耗为51.85kgce/万元，已经大大超过了目标值37.96kgce/万元。没有对产值升高进行原因分析并制订纠正措施。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原因分析：2022年1月开始公司为达到产品性能要求设立造粒车间，对原材料进行改性造粒，其能耗计入了统计，但其作为一个辅助过程未产生产值，造成单位产值能耗过高。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改进措施：2022年终统计单位产值能耗时，进行归一化计算。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部门：生产部2022.7.11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03146C9F"/>
    <w:rsid w:val="04A152A6"/>
    <w:rsid w:val="0F124EB7"/>
    <w:rsid w:val="2ED21013"/>
    <w:rsid w:val="30B71EE3"/>
    <w:rsid w:val="36E924F7"/>
    <w:rsid w:val="464D2A65"/>
    <w:rsid w:val="53F73CC7"/>
    <w:rsid w:val="738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2022-07-10T01:44:00Z</dcterms:created>
  <dc:creator>a</dc:creator>
  <cp:lastModifiedBy>开门大吉～ISO认证服务</cp:lastModifiedBy>
  <dcterms:modified xsi:type="dcterms:W3CDTF">2022-07-10T02:38:14Z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1C1740579EB048FCAEAB1808DC5853E6</vt:lpwstr>
  </property>
</Properties>
</file>