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0452-2020-QEO-2022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北京利源百发商贸有限公司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北京利源百发商贸有限公司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北京市丰台区新发地银地西路18号北水嘉伦市场院内D厅01号房间</w:t>
            </w:r>
            <w:bookmarkEnd w:id="6"/>
          </w:p>
        </w:tc>
        <w:tc>
          <w:tcPr>
            <w:tcW w:w="1242" w:type="dxa"/>
            <w:vMerge w:val="restart"/>
            <w:vAlign w:val="center"/>
          </w:tcPr>
          <w:p>
            <w:r>
              <w:rPr>
                <w:rFonts w:hint="eastAsia"/>
              </w:rPr>
              <w:t>邮编</w:t>
            </w:r>
          </w:p>
        </w:tc>
        <w:tc>
          <w:tcPr>
            <w:tcW w:w="1771" w:type="dxa"/>
          </w:tcPr>
          <w:p>
            <w:bookmarkStart w:id="7" w:name="注册邮编"/>
            <w:r>
              <w:t>100160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北京市丰台区新发地银地西路18号北水嘉伦市场院内D厅01号房间</w:t>
            </w:r>
            <w:bookmarkEnd w:id="8"/>
          </w:p>
        </w:tc>
        <w:tc>
          <w:tcPr>
            <w:tcW w:w="1242" w:type="dxa"/>
            <w:vMerge w:val="continue"/>
            <w:vAlign w:val="center"/>
          </w:tcPr>
          <w:p/>
        </w:tc>
        <w:tc>
          <w:tcPr>
            <w:tcW w:w="1771" w:type="dxa"/>
          </w:tcPr>
          <w:p>
            <w:bookmarkStart w:id="9" w:name="办公邮编"/>
            <w:r>
              <w:t>100160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郭雅君</w:t>
            </w:r>
            <w:bookmarkEnd w:id="10"/>
          </w:p>
        </w:tc>
        <w:tc>
          <w:tcPr>
            <w:tcW w:w="1313" w:type="dxa"/>
            <w:vAlign w:val="center"/>
          </w:tcPr>
          <w:p>
            <w:r>
              <w:rPr>
                <w:rFonts w:hint="eastAsia"/>
              </w:rPr>
              <w:t>电话.</w:t>
            </w:r>
          </w:p>
        </w:tc>
        <w:tc>
          <w:tcPr>
            <w:tcW w:w="2180" w:type="dxa"/>
            <w:vAlign w:val="center"/>
          </w:tcPr>
          <w:p>
            <w:bookmarkStart w:id="11" w:name="联系人电话"/>
            <w:r>
              <w:t>15834356358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韩明波</w:t>
            </w:r>
            <w:bookmarkEnd w:id="13"/>
          </w:p>
        </w:tc>
        <w:tc>
          <w:tcPr>
            <w:tcW w:w="1313" w:type="dxa"/>
            <w:vAlign w:val="center"/>
          </w:tcPr>
          <w:p>
            <w:r>
              <w:rPr>
                <w:rFonts w:hint="eastAsia"/>
              </w:rPr>
              <w:t>管理者代表</w:t>
            </w:r>
          </w:p>
        </w:tc>
        <w:tc>
          <w:tcPr>
            <w:tcW w:w="2180" w:type="dxa"/>
          </w:tcPr>
          <w:p>
            <w:bookmarkStart w:id="14" w:name="管理者代表"/>
            <w:r>
              <w:t>郭雅君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rPr>
              <w:t>销售：客户接触----合同评审----签订合同-----客户付款------入帐------采购-----客户提货-----验收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2022年06月22日 上午至2022年06月22日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北京市丰台区新发地银地西路18号北水嘉伦市场院内D厅01号房间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Q：许可范围内预包装食品（含冷藏冷冻食品）的销售；鲜肉、鲜蛋、干鲜果品、蔬菜、粮油、水产品、调味品的销售。</w:t>
            </w:r>
          </w:p>
          <w:p>
            <w:r>
              <w:t>E：许可范围内预包装食品（含冷藏冷冻食品）的销售；鲜肉、鲜蛋、干鲜果品、蔬菜、粮油、水产品、调味品的销售及相关环境管理活动。</w:t>
            </w:r>
          </w:p>
          <w:p>
            <w:r>
              <w:t>O：许可范围内预包装食品（含冷藏冷冻食品）的销售；鲜肉、鲜蛋、干鲜果品、蔬菜、粮油、水产品、调味品的销售及相关职业健康安全管理活动。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Q：29.07.09</w:t>
            </w:r>
          </w:p>
          <w:p>
            <w:r>
              <w:t>E：29.07.09</w:t>
            </w:r>
          </w:p>
          <w:p>
            <w:r>
              <w:t>O：29.07.09</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22"/>
        <w:gridCol w:w="1632"/>
        <w:gridCol w:w="744"/>
        <w:gridCol w:w="3180"/>
        <w:gridCol w:w="159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422" w:type="dxa"/>
            <w:shd w:val="clear" w:color="auto" w:fill="F3F3F3"/>
            <w:tcMar>
              <w:left w:w="57" w:type="dxa"/>
              <w:right w:w="57" w:type="dxa"/>
            </w:tcMar>
          </w:tcPr>
          <w:p>
            <w:r>
              <w:rPr>
                <w:rFonts w:hint="eastAsia"/>
              </w:rPr>
              <w:t>组织名称及注册场所地址</w:t>
            </w:r>
          </w:p>
        </w:tc>
        <w:tc>
          <w:tcPr>
            <w:tcW w:w="1632" w:type="dxa"/>
            <w:shd w:val="clear" w:color="auto" w:fill="F3F3F3"/>
            <w:tcMar>
              <w:left w:w="57" w:type="dxa"/>
              <w:right w:w="57" w:type="dxa"/>
            </w:tcMar>
          </w:tcPr>
          <w:p>
            <w:r>
              <w:rPr>
                <w:rFonts w:hint="eastAsia"/>
              </w:rPr>
              <w:t>经营场所的地址</w:t>
            </w:r>
          </w:p>
          <w:p>
            <w:r>
              <w:rPr>
                <w:rFonts w:hint="eastAsia"/>
              </w:rPr>
              <w:t>（多现场和临时现场）</w:t>
            </w:r>
          </w:p>
        </w:tc>
        <w:tc>
          <w:tcPr>
            <w:tcW w:w="744" w:type="dxa"/>
            <w:shd w:val="clear" w:color="auto" w:fill="F3F3F3"/>
            <w:tcMar>
              <w:left w:w="57" w:type="dxa"/>
              <w:right w:w="57" w:type="dxa"/>
            </w:tcMar>
          </w:tcPr>
          <w:p>
            <w:r>
              <w:rPr>
                <w:rFonts w:hint="eastAsia"/>
              </w:rPr>
              <w:t>员工人数</w:t>
            </w:r>
          </w:p>
        </w:tc>
        <w:tc>
          <w:tcPr>
            <w:tcW w:w="3180" w:type="dxa"/>
            <w:shd w:val="clear" w:color="auto" w:fill="F3F3F3"/>
            <w:tcMar>
              <w:left w:w="57" w:type="dxa"/>
              <w:right w:w="57" w:type="dxa"/>
            </w:tcMar>
          </w:tcPr>
          <w:p>
            <w:r>
              <w:rPr>
                <w:rFonts w:hint="eastAsia"/>
              </w:rPr>
              <w:t>审核范围（产品和过程）</w:t>
            </w:r>
          </w:p>
          <w:p/>
          <w:p/>
        </w:tc>
        <w:tc>
          <w:tcPr>
            <w:tcW w:w="159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422" w:type="dxa"/>
          </w:tcPr>
          <w:p>
            <w:pPr>
              <w:rPr>
                <w:lang w:val="de-DE" w:eastAsia="ja-JP"/>
              </w:rPr>
            </w:pPr>
            <w:r>
              <w:rPr>
                <w:sz w:val="21"/>
                <w:szCs w:val="21"/>
              </w:rPr>
              <w:t>北京利源百发商贸有限公司</w:t>
            </w:r>
            <w:r>
              <w:rPr>
                <w:rFonts w:asciiTheme="minorEastAsia" w:hAnsiTheme="minorEastAsia" w:eastAsiaTheme="minorEastAsia"/>
                <w:sz w:val="20"/>
              </w:rPr>
              <w:t>北京市丰台区新发地银地西路18号北水嘉伦市场院内D厅01号房间</w:t>
            </w:r>
          </w:p>
        </w:tc>
        <w:tc>
          <w:tcPr>
            <w:tcW w:w="1632" w:type="dxa"/>
          </w:tcPr>
          <w:p>
            <w:pPr>
              <w:rPr>
                <w:lang w:val="de-DE" w:eastAsia="ja-JP"/>
              </w:rPr>
            </w:pPr>
            <w:r>
              <w:rPr>
                <w:rFonts w:asciiTheme="minorEastAsia" w:hAnsiTheme="minorEastAsia" w:eastAsiaTheme="minorEastAsia"/>
                <w:sz w:val="20"/>
              </w:rPr>
              <w:t>北京市丰台区新发地银地西路18号北水嘉伦市场院内D厅01号房间</w:t>
            </w:r>
          </w:p>
        </w:tc>
        <w:tc>
          <w:tcPr>
            <w:tcW w:w="744" w:type="dxa"/>
            <w:vAlign w:val="center"/>
          </w:tcPr>
          <w:p>
            <w:pPr>
              <w:rPr>
                <w:rFonts w:hint="default" w:eastAsia="宋体"/>
                <w:lang w:val="en-US" w:eastAsia="zh-CN"/>
              </w:rPr>
            </w:pPr>
            <w:r>
              <w:rPr>
                <w:rFonts w:hint="eastAsia"/>
                <w:lang w:val="en-US" w:eastAsia="zh-CN"/>
              </w:rPr>
              <w:t>15</w:t>
            </w:r>
          </w:p>
        </w:tc>
        <w:tc>
          <w:tcPr>
            <w:tcW w:w="3180" w:type="dxa"/>
            <w:vAlign w:val="center"/>
          </w:tcPr>
          <w:p>
            <w:r>
              <w:t>Q：许可范围内预包装食品（含冷藏冷冻食品）的销售；鲜肉、鲜蛋、干鲜果品、蔬菜、粮油、水产品、调味品的销售。</w:t>
            </w:r>
          </w:p>
          <w:p>
            <w:r>
              <w:t>E：许可范围内预包装食品（含冷藏冷冻食品）的销售；鲜肉、鲜蛋、干鲜果品、蔬菜、粮油、水产品、调味品的销售及相关环境管理活动。</w:t>
            </w:r>
          </w:p>
          <w:p>
            <w:pPr>
              <w:rPr>
                <w:lang w:eastAsia="ja-JP"/>
              </w:rPr>
            </w:pPr>
            <w:r>
              <w:t>O：许可范围内预包装食品（含冷藏冷冻食品）的销售；鲜肉、鲜蛋、干鲜果品、蔬菜、粮油、水产品、调味品的销售及相关职业健康安全管理活动。</w:t>
            </w:r>
          </w:p>
        </w:tc>
        <w:tc>
          <w:tcPr>
            <w:tcW w:w="1599" w:type="dxa"/>
            <w:vAlign w:val="center"/>
          </w:tcPr>
          <w:p>
            <w:pPr>
              <w:rPr>
                <w:rFonts w:hint="eastAsia"/>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rPr>
                <w:lang w:val="de-DE"/>
              </w:rPr>
            </w:pP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rPr>
              <w:sym w:font="Wingdings 2" w:char="0052"/>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2020-N1QMS-1237307</w:t>
            </w:r>
          </w:p>
          <w:p>
            <w:r>
              <w:t>2020-N1EMS-1237307</w:t>
            </w:r>
          </w:p>
          <w:p>
            <w:r>
              <w:t>2020-N1OHSMS-1237307</w:t>
            </w:r>
          </w:p>
        </w:tc>
        <w:tc>
          <w:tcPr>
            <w:tcW w:w="2179" w:type="dxa"/>
            <w:vAlign w:val="center"/>
          </w:tcPr>
          <w:p>
            <w:r>
              <w:t>Q:29.07.09</w:t>
            </w:r>
          </w:p>
          <w:p>
            <w:r>
              <w:t>E:29.07.09</w:t>
            </w:r>
          </w:p>
          <w:p>
            <w: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2021-N1QMS-2218164</w:t>
            </w:r>
          </w:p>
          <w:p>
            <w:r>
              <w:t>2020-N1EMS-1218164</w:t>
            </w:r>
          </w:p>
          <w:p>
            <w:r>
              <w:t>2021-N1OHSMS-2218164</w:t>
            </w:r>
          </w:p>
        </w:tc>
        <w:tc>
          <w:tcPr>
            <w:tcW w:w="2179" w:type="dxa"/>
            <w:vAlign w:val="center"/>
          </w:tcPr>
          <w:p>
            <w:r>
              <w:t>Q:29.07.09</w:t>
            </w:r>
          </w:p>
          <w:p>
            <w:r>
              <w:t>E:29.07.09</w:t>
            </w:r>
          </w:p>
          <w:p>
            <w: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
            <w:pPr>
              <w:bidi w:val="0"/>
              <w:ind w:firstLine="399" w:firstLineChars="0"/>
              <w:jc w:val="left"/>
              <w:rPr>
                <w:rFonts w:ascii="Times New Roman" w:hAnsi="Times New Roman" w:eastAsia="宋体" w:cs="Times New Roman"/>
                <w:kern w:val="2"/>
                <w:sz w:val="21"/>
                <w:szCs w:val="24"/>
                <w:lang w:val="en-US" w:eastAsia="zh-CN" w:bidi="ar-SA"/>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r>
              <w:rPr>
                <w:rFonts w:hint="eastAsia" w:eastAsia="宋体"/>
                <w:lang w:eastAsia="zh-CN"/>
              </w:rPr>
              <w:drawing>
                <wp:anchor distT="0" distB="0" distL="114300" distR="114300" simplePos="0" relativeHeight="251661312" behindDoc="1" locked="0" layoutInCell="1" allowOverlap="1">
                  <wp:simplePos x="0" y="0"/>
                  <wp:positionH relativeFrom="column">
                    <wp:posOffset>243840</wp:posOffset>
                  </wp:positionH>
                  <wp:positionV relativeFrom="paragraph">
                    <wp:posOffset>57150</wp:posOffset>
                  </wp:positionV>
                  <wp:extent cx="640080" cy="333375"/>
                  <wp:effectExtent l="0" t="0" r="0" b="1905"/>
                  <wp:wrapTight wrapText="bothSides">
                    <wp:wrapPolygon>
                      <wp:start x="0" y="0"/>
                      <wp:lineTo x="0" y="20736"/>
                      <wp:lineTo x="21086" y="20736"/>
                      <wp:lineTo x="21086" y="0"/>
                      <wp:lineTo x="0" y="0"/>
                    </wp:wrapPolygon>
                  </wp:wrapTight>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640080" cy="333375"/>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2022.6.22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rPr>
            </w:pPr>
            <w:r>
              <w:rPr>
                <w:rFonts w:hint="eastAsia"/>
              </w:rPr>
              <w:t>守法诚信追求质量，预防污染保护环境；</w:t>
            </w:r>
          </w:p>
          <w:p>
            <w:pPr>
              <w:shd w:val="clear" w:color="auto" w:fill="C7DAF1" w:themeFill="text2" w:themeFillTint="32"/>
              <w:rPr>
                <w:u w:val="single"/>
              </w:rPr>
            </w:pP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cstheme="minorEastAsia"/>
                      <w:szCs w:val="21"/>
                    </w:rPr>
                    <w:t>政策风险</w:t>
                  </w:r>
                </w:p>
              </w:tc>
              <w:tc>
                <w:tcPr>
                  <w:tcW w:w="3965" w:type="dxa"/>
                </w:tcPr>
                <w:p>
                  <w:r>
                    <w:rPr>
                      <w:rFonts w:hint="eastAsia" w:asciiTheme="minorEastAsia" w:hAnsiTheme="minorEastAsia" w:eastAsiaTheme="minorEastAsia" w:cstheme="minorEastAsia"/>
                      <w:szCs w:val="21"/>
                    </w:rPr>
                    <w:t>公司属于销售行业，主要客户为各企事业单位，及个体经营者、厂区，有产业和政策调整的风险较小。但为了防止未来有可能发生改变的政策，企业拟在其它类型的工作业务扩大做准备。</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cstheme="minorEastAsia"/>
                      <w:szCs w:val="21"/>
                    </w:rPr>
                    <w:t>资金风险</w:t>
                  </w:r>
                </w:p>
              </w:tc>
              <w:tc>
                <w:tcPr>
                  <w:tcW w:w="3965" w:type="dxa"/>
                </w:tcPr>
                <w:p>
                  <w:pPr>
                    <w:shd w:val="clear" w:color="auto" w:fill="C7DAF1" w:themeFill="text2" w:themeFillTint="32"/>
                  </w:pPr>
                  <w:r>
                    <w:rPr>
                      <w:rFonts w:hint="eastAsia" w:asciiTheme="minorEastAsia" w:hAnsiTheme="minorEastAsia" w:eastAsiaTheme="minorEastAsia" w:cstheme="minorEastAsia"/>
                      <w:szCs w:val="21"/>
                    </w:rPr>
                    <w:t>公司拟招聘经验丰富的技术服务人员，并不断组织人员到同行优秀企业学习，加大产品服务及后期作业工作能力的提升，不断提高我企业的行业竞争能力，规避相关技术风险。</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cstheme="minorEastAsia"/>
                      <w:szCs w:val="21"/>
                    </w:rPr>
                    <w:t>技术风险</w:t>
                  </w:r>
                </w:p>
              </w:tc>
              <w:tc>
                <w:tcPr>
                  <w:tcW w:w="3965" w:type="dxa"/>
                </w:tcPr>
                <w:p>
                  <w:r>
                    <w:rPr>
                      <w:rFonts w:hint="eastAsia" w:asciiTheme="minorEastAsia" w:hAnsiTheme="minorEastAsia" w:eastAsiaTheme="minorEastAsia" w:cstheme="minorEastAsia"/>
                      <w:szCs w:val="21"/>
                    </w:rPr>
                    <w:t>公司拟招聘经验丰富的技术服务人员，并不断组织人员到同行优秀企业学习，加大产品服务及后期作业工作能力的提升，不断提高我企业的行业竞争能力，规避相关技术风险。</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cstheme="minorEastAsia"/>
                      <w:szCs w:val="21"/>
                    </w:rPr>
                    <w:t>管理风险</w:t>
                  </w:r>
                </w:p>
              </w:tc>
              <w:tc>
                <w:tcPr>
                  <w:tcW w:w="3965" w:type="dxa"/>
                </w:tcPr>
                <w:p>
                  <w:r>
                    <w:rPr>
                      <w:rFonts w:hint="eastAsia" w:asciiTheme="minorEastAsia" w:hAnsiTheme="minorEastAsia" w:eastAsiaTheme="minorEastAsia" w:cstheme="minorEastAsia"/>
                      <w:szCs w:val="21"/>
                    </w:rPr>
                    <w:t>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来自市场的风险</w:t>
                  </w:r>
                </w:p>
              </w:tc>
              <w:tc>
                <w:tcPr>
                  <w:tcW w:w="3965"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加强公司内部人员的基础素质，提高专业技能、对于公司内部的机密信息不能外泄，保护好公司的内部人员，防止公司内部人员的流失。</w:t>
                  </w:r>
                </w:p>
              </w:tc>
              <w:tc>
                <w:tcPr>
                  <w:tcW w:w="1717" w:type="dxa"/>
                </w:tcPr>
                <w:p>
                  <w:pPr>
                    <w:shd w:val="clear" w:color="auto" w:fill="C7DAF1" w:themeFill="text2" w:themeFillTint="32"/>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销售产品合格率</w:t>
                  </w:r>
                  <w:r>
                    <w:rPr>
                      <w:rFonts w:hint="eastAsia"/>
                      <w:lang w:val="en-US" w:eastAsia="zh-CN"/>
                    </w:rPr>
                    <w:t>100</w:t>
                  </w:r>
                  <w:r>
                    <w:rPr>
                      <w:rFonts w:hint="eastAsia"/>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实际发生</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实际发生</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实际发生</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rPr>
                    <w:t>顾客满意率9</w:t>
                  </w:r>
                  <w:r>
                    <w:rPr>
                      <w:rFonts w:hint="eastAsia"/>
                      <w:lang w:val="en-US" w:eastAsia="zh-CN"/>
                    </w:rPr>
                    <w:t>5</w:t>
                  </w:r>
                  <w:r>
                    <w:rPr>
                      <w:rFonts w:hint="eastAsia"/>
                    </w:rPr>
                    <w:t>%以上</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实际发生</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2243</w:t>
            </w:r>
            <w:r>
              <w:rPr>
                <w:rFonts w:hint="eastAsia"/>
              </w:rPr>
              <w:t>平方米；生产车间个；库房</w:t>
            </w:r>
            <w:r>
              <w:rPr>
                <w:rFonts w:hint="eastAsia"/>
                <w:lang w:val="en-US" w:eastAsia="zh-CN"/>
              </w:rPr>
              <w:t>1</w:t>
            </w:r>
            <w:r>
              <w:rPr>
                <w:rFonts w:hint="eastAsia"/>
              </w:rPr>
              <w:t>个；实验室个；</w:t>
            </w:r>
          </w:p>
          <w:p>
            <w:pPr>
              <w:shd w:val="clear" w:color="auto" w:fill="C7DAF1" w:themeFill="text2" w:themeFillTint="32"/>
              <w:rPr>
                <w:rFonts w:hint="eastAsia"/>
              </w:rPr>
            </w:pPr>
            <w:r>
              <w:rPr>
                <w:rFonts w:hint="eastAsia"/>
              </w:rPr>
              <w:t>主要生产设备有：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办公设备：电脑（主机+显示器）、描扫仪/打印机一体、打印机、传真电话一体机、固定电话等，基本满足要求。</w:t>
            </w:r>
          </w:p>
          <w:p>
            <w:r>
              <w:rPr>
                <w:rFonts w:hint="eastAsia" w:ascii="宋体" w:hAnsi="宋体" w:cs="宋体"/>
                <w:b w:val="0"/>
                <w:bCs w:val="0"/>
                <w:color w:val="auto"/>
                <w:szCs w:val="21"/>
                <w:lang w:val="en-US" w:eastAsia="zh-CN"/>
              </w:rPr>
              <w:t>销售设备：箱货汽车、冷库；</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lang w:val="en-US" w:eastAsia="zh-CN"/>
              </w:rPr>
              <w:t>台秤</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市场预测</w:t>
            </w:r>
            <w:r>
              <w:rPr>
                <w:rFonts w:hint="eastAsia" w:ascii="Wingdings" w:hAnsi="Wingdings"/>
              </w:rPr>
              <w:t>¨</w:t>
            </w:r>
            <w:r>
              <w:rPr>
                <w:rFonts w:hint="eastAsia"/>
              </w:rPr>
              <w:t>企业标准</w:t>
            </w:r>
            <w:r>
              <w:rPr>
                <w:rFonts w:hint="eastAsia" w:ascii="Wingdings" w:hAnsi="Wingdings"/>
              </w:rPr>
              <w:t>¨</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ascii="Wingdings" w:hAnsi="Wingdings"/>
                <w:lang w:val="en-US" w:eastAsia="zh-CN"/>
              </w:rPr>
              <w:t>不涉及</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92" w:type="dxa"/>
                </w:tcPr>
                <w:p>
                  <w:pPr>
                    <w:shd w:val="clear" w:color="auto" w:fill="C7DAF1" w:themeFill="text2" w:themeFillTint="32"/>
                    <w:jc w:val="left"/>
                  </w:pPr>
                  <w:r>
                    <w:rPr>
                      <w:sz w:val="20"/>
                    </w:rPr>
                    <w:t>许可范围内预包装食品（含冷藏冷冻食品）的销售；鲜肉、鲜蛋、干鲜果品、蔬菜、粮油、水产品、调味品的销售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采购</w:t>
                  </w:r>
                </w:p>
              </w:tc>
              <w:tc>
                <w:tcPr>
                  <w:tcW w:w="3265" w:type="dxa"/>
                </w:tcPr>
                <w:p>
                  <w:pPr>
                    <w:shd w:val="clear" w:color="auto" w:fill="C7DAF1" w:themeFill="text2" w:themeFillTint="32"/>
                    <w:jc w:val="left"/>
                  </w:pPr>
                  <w:r>
                    <w:rPr>
                      <w:rFonts w:hint="eastAsia"/>
                      <w:lang w:val="en-US" w:eastAsia="zh-CN"/>
                    </w:rPr>
                    <w:t>对供方定期进行合格评定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szCs w:val="21"/>
                <w:lang w:val="en-US" w:eastAsia="zh-CN"/>
              </w:rPr>
              <w:t>销售过程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守法诚信追求质量，预防污染保护环境；</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关爱员工健康安全，持续改进追求卓越。</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仿宋_GB2312" w:eastAsia="仿宋_GB2312"/>
                      <w:sz w:val="24"/>
                    </w:rPr>
                    <w:t>潜在火灾事故发生</w:t>
                  </w:r>
                </w:p>
              </w:tc>
              <w:tc>
                <w:tcPr>
                  <w:tcW w:w="3965" w:type="dxa"/>
                  <w:vAlign w:val="center"/>
                </w:tcPr>
                <w:p>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管理方案</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仿宋_GB2312" w:eastAsia="仿宋_GB2312"/>
                      <w:sz w:val="24"/>
                    </w:rPr>
                    <w:t>固体废弃物处理</w:t>
                  </w:r>
                </w:p>
              </w:tc>
              <w:tc>
                <w:tcPr>
                  <w:tcW w:w="3965" w:type="dxa"/>
                  <w:vAlign w:val="center"/>
                </w:tcPr>
                <w:p>
                  <w:pPr>
                    <w:jc w:val="center"/>
                    <w:rPr>
                      <w:rFonts w:hint="eastAsia" w:ascii="Times New Roman" w:hAnsi="Times New Roman" w:eastAsia="宋体" w:cs="Times New Roman"/>
                      <w:kern w:val="2"/>
                      <w:sz w:val="24"/>
                      <w:szCs w:val="24"/>
                      <w:lang w:val="en-US" w:eastAsia="zh-CN" w:bidi="ar-SA"/>
                    </w:rPr>
                  </w:pPr>
                  <w:r>
                    <w:rPr>
                      <w:rFonts w:hint="eastAsia" w:ascii="仿宋_GB2312" w:eastAsia="仿宋_GB2312"/>
                      <w:sz w:val="24"/>
                    </w:rPr>
                    <w:t>执行管理规定、程序文件规定</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固体废弃物100%分类，合理处理</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环境污染事故发生率为零</w:t>
                  </w:r>
                </w:p>
              </w:tc>
              <w:tc>
                <w:tcPr>
                  <w:tcW w:w="3136"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2243</w:t>
            </w:r>
            <w:r>
              <w:rPr>
                <w:rFonts w:hint="eastAsia" w:ascii="Times New Roman" w:hAnsi="Times New Roman" w:eastAsia="宋体" w:cs="Times New Roman"/>
              </w:rPr>
              <w:t>平方米；生产车间个；库房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p>
          <w:p>
            <w:pPr>
              <w:shd w:val="clear" w:color="auto" w:fill="EBF1DE" w:themeFill="accent3" w:themeFillTint="32"/>
              <w:rPr>
                <w:rFonts w:hint="eastAsia" w:ascii="Times New Roman" w:hAnsi="Times New Roman" w:eastAsia="宋体" w:cs="Times New Roman"/>
                <w:szCs w:val="22"/>
                <w:lang w:val="en-US" w:eastAsia="zh-CN"/>
              </w:rPr>
            </w:pPr>
            <w:r>
              <w:rPr>
                <w:rFonts w:hint="eastAsia" w:ascii="Times New Roman" w:hAnsi="Times New Roman" w:eastAsia="宋体" w:cs="Times New Roman"/>
                <w:lang w:val="en-US" w:eastAsia="zh-CN"/>
              </w:rPr>
              <w:t>办公设备：电脑（主</w:t>
            </w:r>
            <w:r>
              <w:rPr>
                <w:rFonts w:hint="eastAsia" w:ascii="Times New Roman" w:hAnsi="Times New Roman" w:eastAsia="宋体" w:cs="Times New Roman"/>
                <w:szCs w:val="22"/>
                <w:lang w:val="en-US" w:eastAsia="zh-CN"/>
              </w:rPr>
              <w:t>机+显示器）、描扫仪/打印机一体、打印机、传真电话一体机、固定电话等，基本满足要求。</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特种设备：不适用</w:t>
            </w:r>
          </w:p>
          <w:p>
            <w:pPr>
              <w:shd w:val="clear" w:color="auto" w:fill="EBF1DE" w:themeFill="accent3" w:themeFillTint="32"/>
              <w:ind w:firstLine="1050" w:firstLineChars="500"/>
            </w:pPr>
            <w:r>
              <w:rPr>
                <w:rFonts w:hint="eastAsia"/>
              </w:rPr>
              <w:t>辅助场所：</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不涉及</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不涉及</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不涉及</w:t>
            </w:r>
          </w:p>
          <w:p>
            <w:pPr>
              <w:shd w:val="clear" w:color="auto" w:fill="EBF1DE" w:themeFill="accent3" w:themeFillTint="32"/>
              <w:rPr>
                <w:rFonts w:hint="eastAsia" w:eastAsia="宋体"/>
                <w:lang w:val="en-US" w:eastAsia="zh-CN"/>
              </w:rPr>
            </w:pPr>
            <w:r>
              <w:rPr>
                <w:rFonts w:hint="eastAsia"/>
              </w:rPr>
              <w:t>特种设备作业人员：</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EMS认证证书</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rPr>
            </w:pPr>
            <w:r>
              <w:rPr>
                <w:rFonts w:hint="eastAsia"/>
              </w:rPr>
              <w:t>外部提供包括：</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lang w:val="en-US" w:eastAsia="zh-CN"/>
              </w:rPr>
              <w:t>不涉及</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eastAsia" w:eastAsia="宋体"/>
                <w:lang w:val="en-US" w:eastAsia="zh-CN"/>
              </w:rPr>
            </w:pPr>
            <w:r>
              <w:rPr>
                <w:rFonts w:hint="eastAsia"/>
              </w:rPr>
              <w:t>采用的标识方式：</w:t>
            </w:r>
            <w:r>
              <w:rPr>
                <w:rFonts w:hint="eastAsia" w:ascii="Wingdings" w:hAnsi="Wingdings"/>
                <w:lang w:val="en-US" w:eastAsia="zh-CN"/>
              </w:rPr>
              <w:t>不涉及</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未发生</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rPr>
                <w:rFonts w:hint="default" w:eastAsia="宋体"/>
                <w:lang w:val="en-US" w:eastAsia="zh-CN"/>
              </w:rPr>
            </w:pPr>
            <w:r>
              <w:rPr>
                <w:rFonts w:hint="eastAsia"/>
              </w:rPr>
              <w:t>制订的应急预案包括：</w:t>
            </w:r>
            <w:r>
              <w:rPr>
                <w:rFonts w:hint="eastAsia"/>
                <w:lang w:val="en-US" w:eastAsia="zh-CN"/>
              </w:rPr>
              <w:t>火灾应急预案</w:t>
            </w:r>
          </w:p>
          <w:p>
            <w:pPr>
              <w:shd w:val="clear" w:color="auto" w:fill="EBF1DE" w:themeFill="accent3" w:themeFillTint="32"/>
            </w:pPr>
            <w:r>
              <w:rPr>
                <w:rFonts w:hint="eastAsia" w:ascii="Wingdings" w:hAnsi="Wingdings"/>
              </w:rPr>
              <w:t>¨</w:t>
            </w: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val="en-US" w:eastAsia="zh-CN"/>
              </w:rPr>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Times New Roman" w:hAnsi="Times New Roman" w:eastAsia="宋体" w:cs="Times New Roman"/>
              </w:rPr>
            </w:pPr>
            <w:r>
              <w:rPr>
                <w:rFonts w:hint="eastAsia" w:ascii="Times New Roman" w:hAnsi="Times New Roman" w:eastAsia="宋体" w:cs="Times New Roman"/>
              </w:rPr>
              <w:t>守法诚信追求质量，预防污染保护环境；</w:t>
            </w:r>
          </w:p>
          <w:p>
            <w:pPr>
              <w:rPr>
                <w:rFonts w:hint="eastAsia" w:ascii="Times New Roman" w:hAnsi="Times New Roman" w:eastAsia="宋体" w:cs="Times New Roman"/>
              </w:rPr>
            </w:pPr>
            <w:r>
              <w:rPr>
                <w:rFonts w:hint="eastAsia" w:ascii="Times New Roman" w:hAnsi="Times New Roman" w:eastAsia="宋体" w:cs="Times New Roman"/>
              </w:rPr>
              <w:t>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闫丁丁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Times New Roman"/>
                      <w:kern w:val="2"/>
                      <w:sz w:val="24"/>
                      <w:szCs w:val="24"/>
                      <w:lang w:val="en-US" w:eastAsia="zh-CN" w:bidi="ar-SA"/>
                    </w:rPr>
                  </w:pPr>
                  <w:r>
                    <w:rPr>
                      <w:rFonts w:hint="eastAsia" w:ascii="宋体" w:hAnsi="宋体"/>
                      <w:sz w:val="24"/>
                    </w:rPr>
                    <w:t>潜在火灾、爆炸</w:t>
                  </w:r>
                </w:p>
              </w:tc>
              <w:tc>
                <w:tcPr>
                  <w:tcW w:w="3965" w:type="dxa"/>
                  <w:vAlign w:val="center"/>
                </w:tcPr>
                <w:p>
                  <w:pPr>
                    <w:jc w:val="center"/>
                    <w:rPr>
                      <w:rFonts w:hint="eastAsia" w:ascii="宋体" w:hAnsi="宋体"/>
                      <w:sz w:val="24"/>
                    </w:rPr>
                  </w:pPr>
                  <w:r>
                    <w:rPr>
                      <w:rFonts w:hint="eastAsia" w:ascii="宋体" w:hAnsi="宋体"/>
                      <w:sz w:val="24"/>
                    </w:rPr>
                    <w:t>运行控制</w:t>
                  </w:r>
                </w:p>
                <w:p>
                  <w:pPr>
                    <w:jc w:val="center"/>
                    <w:rPr>
                      <w:rFonts w:hint="eastAsia" w:ascii="宋体" w:hAnsi="宋体" w:eastAsia="宋体" w:cs="Times New Roman"/>
                      <w:kern w:val="2"/>
                      <w:sz w:val="24"/>
                      <w:szCs w:val="24"/>
                      <w:lang w:val="en-US" w:eastAsia="zh-CN" w:bidi="ar-SA"/>
                    </w:rPr>
                  </w:pPr>
                  <w:r>
                    <w:rPr>
                      <w:rFonts w:hint="eastAsia" w:ascii="宋体" w:hAnsi="宋体"/>
                      <w:sz w:val="24"/>
                    </w:rPr>
                    <w:t>应急预案</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触电</w:t>
                  </w:r>
                </w:p>
              </w:tc>
              <w:tc>
                <w:tcPr>
                  <w:tcW w:w="3965" w:type="dxa"/>
                  <w:vAlign w:val="center"/>
                </w:tcPr>
                <w:p>
                  <w:pPr>
                    <w:jc w:val="center"/>
                    <w:rPr>
                      <w:rFonts w:hint="eastAsia" w:ascii="宋体" w:hAnsi="宋体"/>
                      <w:sz w:val="24"/>
                    </w:rPr>
                  </w:pPr>
                  <w:r>
                    <w:rPr>
                      <w:rFonts w:hint="eastAsia" w:ascii="宋体" w:hAnsi="宋体"/>
                      <w:sz w:val="24"/>
                    </w:rPr>
                    <w:t>管理方案</w:t>
                  </w:r>
                </w:p>
                <w:p>
                  <w:pPr>
                    <w:jc w:val="center"/>
                    <w:rPr>
                      <w:rFonts w:hint="eastAsia" w:ascii="宋体" w:hAnsi="宋体" w:eastAsia="宋体" w:cs="Times New Roman"/>
                      <w:kern w:val="2"/>
                      <w:sz w:val="24"/>
                      <w:szCs w:val="24"/>
                      <w:lang w:val="en-US" w:eastAsia="zh-CN" w:bidi="ar-SA"/>
                    </w:rPr>
                  </w:pPr>
                  <w:r>
                    <w:rPr>
                      <w:rFonts w:hint="eastAsia" w:ascii="宋体" w:hAnsi="宋体"/>
                      <w:sz w:val="24"/>
                    </w:rPr>
                    <w:t>运行控制</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Times New Roman"/>
                      <w:sz w:val="24"/>
                      <w:lang w:val="en-US" w:eastAsia="zh-CN"/>
                    </w:rPr>
                  </w:pPr>
                  <w:r>
                    <w:rPr>
                      <w:rFonts w:hint="eastAsia" w:ascii="宋体" w:hAnsi="宋体" w:eastAsia="宋体" w:cs="Times New Roman"/>
                      <w:sz w:val="24"/>
                    </w:rPr>
                    <w:t>食物中毒</w:t>
                  </w:r>
                </w:p>
              </w:tc>
              <w:tc>
                <w:tcPr>
                  <w:tcW w:w="3965" w:type="dxa"/>
                  <w:vAlign w:val="center"/>
                </w:tcPr>
                <w:p>
                  <w:pPr>
                    <w:jc w:val="center"/>
                    <w:rPr>
                      <w:rFonts w:hint="eastAsia" w:ascii="宋体" w:hAnsi="宋体" w:eastAsia="宋体" w:cs="Times New Roman"/>
                      <w:sz w:val="24"/>
                    </w:rPr>
                  </w:pPr>
                  <w:r>
                    <w:rPr>
                      <w:rFonts w:hint="eastAsia" w:ascii="宋体" w:hAnsi="宋体" w:eastAsia="宋体" w:cs="Times New Roman"/>
                      <w:sz w:val="24"/>
                    </w:rPr>
                    <w:t>管理方案</w:t>
                  </w:r>
                </w:p>
                <w:p>
                  <w:pPr>
                    <w:jc w:val="center"/>
                    <w:rPr>
                      <w:rFonts w:hint="eastAsia" w:ascii="宋体" w:hAnsi="宋体" w:eastAsia="宋体" w:cs="Times New Roman"/>
                      <w:sz w:val="24"/>
                      <w:lang w:val="en-US" w:eastAsia="zh-CN"/>
                    </w:rPr>
                  </w:pPr>
                  <w:r>
                    <w:rPr>
                      <w:rFonts w:hint="eastAsia" w:ascii="宋体" w:hAnsi="宋体" w:eastAsia="宋体" w:cs="Times New Roman"/>
                      <w:sz w:val="24"/>
                    </w:rPr>
                    <w:t>运行控制</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宋体" w:eastAsia="宋体" w:cs="Times New Roman"/>
                      <w:sz w:val="24"/>
                      <w:lang w:val="en-US" w:eastAsia="zh-CN"/>
                    </w:rPr>
                  </w:pPr>
                  <w:r>
                    <w:rPr>
                      <w:rFonts w:hint="eastAsia" w:ascii="宋体" w:hAnsi="宋体" w:eastAsia="宋体" w:cs="Times New Roman"/>
                      <w:sz w:val="24"/>
                    </w:rPr>
                    <w:t>新冠疫情</w:t>
                  </w:r>
                </w:p>
              </w:tc>
              <w:tc>
                <w:tcPr>
                  <w:tcW w:w="3965" w:type="dxa"/>
                  <w:vAlign w:val="center"/>
                </w:tcPr>
                <w:p>
                  <w:pPr>
                    <w:jc w:val="center"/>
                    <w:rPr>
                      <w:rFonts w:hint="eastAsia" w:ascii="宋体" w:hAnsi="宋体" w:eastAsia="宋体" w:cs="Times New Roman"/>
                      <w:sz w:val="24"/>
                    </w:rPr>
                  </w:pPr>
                  <w:r>
                    <w:rPr>
                      <w:rFonts w:hint="eastAsia" w:ascii="宋体" w:hAnsi="宋体" w:eastAsia="宋体" w:cs="Times New Roman"/>
                      <w:sz w:val="24"/>
                    </w:rPr>
                    <w:t>管理方案</w:t>
                  </w:r>
                </w:p>
                <w:p>
                  <w:pPr>
                    <w:jc w:val="center"/>
                    <w:rPr>
                      <w:rFonts w:hint="eastAsia" w:ascii="宋体" w:hAnsi="宋体" w:eastAsia="宋体" w:cs="Times New Roman"/>
                      <w:sz w:val="24"/>
                      <w:lang w:val="en-US" w:eastAsia="zh-CN"/>
                    </w:rPr>
                  </w:pPr>
                  <w:r>
                    <w:rPr>
                      <w:rFonts w:hint="eastAsia" w:ascii="宋体" w:hAnsi="宋体" w:eastAsia="宋体" w:cs="Times New Roman"/>
                      <w:sz w:val="24"/>
                    </w:rPr>
                    <w:t>运行控制</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Times New Roman"/>
                      <w:sz w:val="24"/>
                      <w:lang w:val="en-US" w:eastAsia="zh-CN"/>
                    </w:rPr>
                  </w:pPr>
                  <w:r>
                    <w:rPr>
                      <w:rFonts w:hint="eastAsia" w:ascii="宋体" w:hAnsi="宋体" w:eastAsia="宋体" w:cs="Times New Roman"/>
                      <w:sz w:val="24"/>
                    </w:rPr>
                    <w:t>意外 伤害</w:t>
                  </w:r>
                </w:p>
              </w:tc>
              <w:tc>
                <w:tcPr>
                  <w:tcW w:w="0" w:type="auto"/>
                  <w:vAlign w:val="center"/>
                </w:tcPr>
                <w:p>
                  <w:pPr>
                    <w:jc w:val="center"/>
                    <w:rPr>
                      <w:rFonts w:hint="eastAsia" w:ascii="宋体" w:hAnsi="宋体" w:eastAsia="宋体" w:cs="Times New Roman"/>
                      <w:sz w:val="24"/>
                    </w:rPr>
                  </w:pPr>
                  <w:r>
                    <w:rPr>
                      <w:rFonts w:hint="eastAsia" w:ascii="宋体" w:hAnsi="宋体" w:eastAsia="宋体" w:cs="Times New Roman"/>
                      <w:sz w:val="24"/>
                    </w:rPr>
                    <w:t>管理方案</w:t>
                  </w:r>
                </w:p>
                <w:p>
                  <w:pPr>
                    <w:jc w:val="center"/>
                    <w:rPr>
                      <w:rFonts w:hint="eastAsia" w:ascii="宋体" w:hAnsi="宋体" w:eastAsia="宋体" w:cs="Times New Roman"/>
                      <w:sz w:val="24"/>
                      <w:lang w:val="en-US" w:eastAsia="zh-CN"/>
                    </w:rPr>
                  </w:pPr>
                  <w:r>
                    <w:rPr>
                      <w:rFonts w:hint="eastAsia" w:ascii="宋体" w:hAnsi="宋体" w:eastAsia="宋体" w:cs="Times New Roman"/>
                      <w:sz w:val="24"/>
                    </w:rPr>
                    <w:t>运行控制</w:t>
                  </w:r>
                </w:p>
              </w:tc>
              <w:tc>
                <w:tcPr>
                  <w:tcW w:w="0" w:type="auto"/>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r>
              <w:rPr>
                <w:rFonts w:hint="eastAsia"/>
                <w:lang w:val="en-US" w:eastAsia="zh-CN"/>
              </w:rPr>
              <w:t>食物中毒、新冠疫情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各类重伤以上事故发生率为零</w:t>
                  </w:r>
                </w:p>
              </w:tc>
              <w:tc>
                <w:tcPr>
                  <w:tcW w:w="3136" w:type="dxa"/>
                  <w:shd w:val="clear" w:color="auto" w:fill="auto"/>
                  <w:vAlign w:val="center"/>
                </w:tcPr>
                <w:p>
                  <w:pPr>
                    <w:rPr>
                      <w:rFonts w:hint="eastAsia"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center"/>
                </w:tcPr>
                <w:p>
                  <w:pPr>
                    <w:jc w:val="center"/>
                    <w:rPr>
                      <w:rFonts w:ascii="宋体" w:hAnsi="宋体"/>
                      <w:lang w:val="en-GB"/>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火灾事故发生率为零</w:t>
                  </w:r>
                </w:p>
              </w:tc>
              <w:tc>
                <w:tcPr>
                  <w:tcW w:w="3136"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center"/>
                </w:tcPr>
                <w:p>
                  <w:pPr>
                    <w:jc w:val="center"/>
                    <w:rPr>
                      <w:rFonts w:ascii="宋体" w:hAnsi="宋体"/>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2243</w:t>
            </w:r>
            <w:r>
              <w:rPr>
                <w:rFonts w:hint="eastAsia" w:ascii="Times New Roman" w:hAnsi="Times New Roman" w:eastAsia="宋体" w:cs="Times New Roman"/>
              </w:rPr>
              <w:t>平方米；生产车间个；库房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办公设备：电脑（主机+显示器）、描扫仪/打印机一体、打印机、传真电话一体机、固定电话等，基本满足要求。</w:t>
            </w:r>
          </w:p>
          <w:p>
            <w:pPr>
              <w:rPr>
                <w:rFonts w:hint="eastAsia" w:eastAsia="宋体"/>
                <w:lang w:val="en-US" w:eastAsia="zh-CN"/>
              </w:rPr>
            </w:pPr>
            <w:r>
              <w:rPr>
                <w:rFonts w:hint="eastAsia"/>
              </w:rPr>
              <w:t>主要安全装置有：</w:t>
            </w:r>
            <w:r>
              <w:rPr>
                <w:rFonts w:hint="eastAsia"/>
                <w:lang w:val="en-US" w:eastAsia="zh-CN"/>
              </w:rPr>
              <w:t>灭火器</w:t>
            </w:r>
          </w:p>
          <w:p/>
          <w:p>
            <w:pPr>
              <w:rPr>
                <w:u w:val="single"/>
              </w:rPr>
            </w:pPr>
          </w:p>
          <w:p>
            <w:r>
              <w:rPr>
                <w:rFonts w:hint="eastAsia"/>
              </w:rPr>
              <w:t>特种设备：不适用</w:t>
            </w:r>
          </w:p>
          <w:p>
            <w:pPr>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不涉及</w:t>
            </w:r>
          </w:p>
          <w:p>
            <w:pPr>
              <w:rPr>
                <w:rFonts w:hint="eastAsia" w:eastAsia="宋体"/>
                <w:lang w:val="en-US" w:eastAsia="zh-CN"/>
              </w:rPr>
            </w:pPr>
            <w:r>
              <w:rPr>
                <w:rFonts w:hint="eastAsia"/>
              </w:rPr>
              <w:t>职业健康安全监测的计量器具有：</w:t>
            </w:r>
            <w:r>
              <w:rPr>
                <w:rFonts w:hint="eastAsia"/>
                <w:lang w:val="en-US" w:eastAsia="zh-CN"/>
              </w:rPr>
              <w:t>不涉及</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OHSMS认证证书</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val="en-US" w:eastAsia="zh-CN"/>
              </w:rPr>
            </w:pPr>
            <w:r>
              <w:rPr>
                <w:rFonts w:hint="eastAsia"/>
              </w:rPr>
              <w:t>外部提供包括：</w:t>
            </w:r>
            <w:r>
              <w:rPr>
                <w:rFonts w:hint="eastAsia"/>
                <w:lang w:val="en-US" w:eastAsia="zh-CN"/>
              </w:rPr>
              <w:t>无</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应急预案、应急演练</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p>
          <w:p>
            <w:pPr>
              <w:rPr>
                <w:rFonts w:hint="eastAsia" w:eastAsia="宋体"/>
                <w:u w:val="single"/>
                <w:lang w:eastAsia="zh-CN"/>
              </w:rPr>
            </w:pPr>
            <w:r>
              <w:rPr>
                <w:rFonts w:hint="eastAsia"/>
              </w:rPr>
              <w:t>特种设备管理：</w:t>
            </w:r>
            <w:r>
              <w:rPr>
                <w:rFonts w:hint="eastAsia" w:ascii="Wingdings" w:hAnsi="Wingdings"/>
                <w:lang w:val="en-US" w:eastAsia="zh-CN"/>
              </w:rPr>
              <w:t>不适用</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eastAsia" w:eastAsia="宋体"/>
                <w:lang w:val="en-US" w:eastAsia="zh-CN"/>
              </w:rPr>
            </w:pPr>
            <w:r>
              <w:rPr>
                <w:rFonts w:hint="eastAsia"/>
              </w:rPr>
              <w:t>采用的标识方式：</w:t>
            </w:r>
            <w:r>
              <w:rPr>
                <w:rFonts w:hint="eastAsia" w:ascii="Wingdings" w:hAnsi="Wingdings"/>
                <w:lang w:val="en-US" w:eastAsia="zh-CN"/>
              </w:rPr>
              <w:t>不涉及</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eastAsia"/>
                <w:lang w:val="en-US" w:eastAsia="zh-CN"/>
              </w:rPr>
            </w:pPr>
            <w:r>
              <w:rPr>
                <w:rFonts w:hint="eastAsia"/>
                <w:lang w:val="en-US" w:eastAsia="zh-CN"/>
              </w:rPr>
              <w:t>未发生</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p>
          <w:p>
            <w:r>
              <w:rPr>
                <w:rFonts w:hint="eastAsia"/>
              </w:rPr>
              <w:t>审核周期内发生过紧急情况：</w:t>
            </w:r>
            <w:r>
              <w:rPr>
                <w:rFonts w:hint="eastAsia" w:ascii="Wingdings" w:hAnsi="Wingdings"/>
              </w:rPr>
              <w:t>¨</w:t>
            </w:r>
            <w:r>
              <w:rPr>
                <w:rFonts w:hint="eastAsia"/>
              </w:rPr>
              <w:t>未发生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ascii="Wingdings" w:hAnsi="Wingdings"/>
              </w:rPr>
            </w:pPr>
            <w:r>
              <w:rPr>
                <w:rFonts w:hint="eastAsia"/>
              </w:rPr>
              <w:t>实施的检测：</w:t>
            </w:r>
            <w:r>
              <w:rPr>
                <w:rFonts w:hint="eastAsia" w:ascii="Wingdings" w:hAnsi="Wingdings"/>
              </w:rPr>
              <w:t>¨</w:t>
            </w:r>
            <w:r>
              <w:rPr>
                <w:rFonts w:hint="eastAsia"/>
              </w:rPr>
              <w:t>企业自检</w:t>
            </w:r>
            <w:r>
              <w:rPr>
                <w:rFonts w:hint="eastAsia" w:ascii="Wingdings" w:hAnsi="Wingdings"/>
              </w:rPr>
              <w:t>¨</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eastAsia="宋体"/>
                <w:lang w:eastAsia="zh-CN"/>
              </w:rPr>
            </w:pPr>
            <w:r>
              <w:rPr>
                <w:rFonts w:hint="eastAsia" w:ascii="Wingdings" w:hAnsi="Wingdings"/>
                <w:lang w:val="en-US" w:eastAsia="zh-CN"/>
              </w:rPr>
              <w:t>未发生</w:t>
            </w:r>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M2NDgxNDc1YjkxYWRmMTllNWNjNGQwYzE0NTkzY2MifQ=="/>
  </w:docVars>
  <w:rsids>
    <w:rsidRoot w:val="00000000"/>
    <w:rsid w:val="0F9A6D78"/>
    <w:rsid w:val="12A408E5"/>
    <w:rsid w:val="160B6B83"/>
    <w:rsid w:val="1A08264E"/>
    <w:rsid w:val="206B2157"/>
    <w:rsid w:val="26192BF6"/>
    <w:rsid w:val="2EC43B21"/>
    <w:rsid w:val="352911A1"/>
    <w:rsid w:val="36A22794"/>
    <w:rsid w:val="46D30747"/>
    <w:rsid w:val="55A42622"/>
    <w:rsid w:val="63BB6BF1"/>
    <w:rsid w:val="6F761268"/>
    <w:rsid w:val="785A7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18795</Words>
  <Characters>19619</Characters>
  <Lines>150</Lines>
  <Paragraphs>42</Paragraphs>
  <TotalTime>3</TotalTime>
  <ScaleCrop>false</ScaleCrop>
  <LinksUpToDate>false</LinksUpToDate>
  <CharactersWithSpaces>19740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2022-06-24T09:41:00Z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