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-570865</wp:posOffset>
            </wp:positionH>
            <wp:positionV relativeFrom="paragraph">
              <wp:posOffset>-980440</wp:posOffset>
            </wp:positionV>
            <wp:extent cx="7428230" cy="9897745"/>
            <wp:effectExtent l="0" t="0" r="1270" b="8255"/>
            <wp:wrapNone/>
            <wp:docPr id="1" name="图片 1" descr="微信图片_202207121625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216251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8230" cy="989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沧州海广管件有限公司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管件：毛坯检验</w:t>
            </w:r>
            <w:r>
              <w:rPr>
                <w:rFonts w:ascii="楷体" w:hAnsi="楷体" w:eastAsia="楷体" w:cs="Arial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整形→机加工</w:t>
            </w:r>
            <w:r>
              <w:rPr>
                <w:rFonts w:ascii="楷体" w:hAnsi="楷体" w:eastAsia="楷体" w:cs="Arial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去毛刺</w:t>
            </w:r>
            <w:r>
              <w:rPr>
                <w:rFonts w:ascii="楷体" w:hAnsi="楷体" w:eastAsia="楷体" w:cs="Arial"/>
                <w:sz w:val="24"/>
                <w:szCs w:val="24"/>
              </w:rPr>
              <w:t>→</w:t>
            </w:r>
            <w:r>
              <w:rPr>
                <w:rFonts w:hint="eastAsia" w:ascii="楷体" w:hAnsi="楷体" w:eastAsia="楷体" w:cs="Arial"/>
                <w:sz w:val="24"/>
                <w:szCs w:val="24"/>
              </w:rPr>
              <w:t>刷油→检验→入库。</w:t>
            </w:r>
          </w:p>
          <w:p>
            <w:pPr>
              <w:spacing w:line="400" w:lineRule="exact"/>
              <w:ind w:firstLine="480" w:firstLineChars="200"/>
              <w:rPr>
                <w:rFonts w:ascii="楷体" w:hAnsi="楷体" w:eastAsia="楷体" w:cs="Arial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卷钢：板材检验→切割下料→卷制成型→焊接→检验→入库。</w:t>
            </w:r>
          </w:p>
          <w:p>
            <w:pPr>
              <w:spacing w:line="400" w:lineRule="exact"/>
              <w:ind w:firstLine="480" w:firstLineChars="200"/>
              <w:rPr>
                <w:b/>
                <w:sz w:val="20"/>
              </w:rPr>
            </w:pPr>
            <w:r>
              <w:rPr>
                <w:rFonts w:hint="eastAsia" w:ascii="楷体" w:hAnsi="楷体" w:eastAsia="楷体" w:cs="Arial"/>
                <w:sz w:val="24"/>
                <w:szCs w:val="24"/>
              </w:rPr>
              <w:t>法兰： 锻坯验收→机加工→检验→入库。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宋体" w:hAnsi="宋体" w:eastAsia="楷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关键过程：</w:t>
            </w: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机加工，根据图纸控制精度。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特殊过程：焊接工序，通过特殊过程特殊过程确认记录进行控制。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GB/T12459-2017钢制对焊无缝管件、HG/T20592-2009钢制管法兰（PN系列）、GB/T14383-2008锻制承插焊和螺纹管件、钢板制对焊管件GB/T13401-2005等标准及顾客要求等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外观尺寸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、硬度等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，无需型式试验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1C92C2B"/>
    <w:rsid w:val="36B16DA3"/>
    <w:rsid w:val="41DA09B6"/>
    <w:rsid w:val="54717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361</Words>
  <Characters>434</Characters>
  <Lines>2</Lines>
  <Paragraphs>1</Paragraphs>
  <TotalTime>0</TotalTime>
  <ScaleCrop>false</ScaleCrop>
  <LinksUpToDate>false</LinksUpToDate>
  <CharactersWithSpaces>436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2022-07-12T08:30:37Z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