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0459-2022-E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2490"/>
        <w:gridCol w:w="393"/>
        <w:gridCol w:w="913"/>
        <w:gridCol w:w="330"/>
        <w:gridCol w:w="85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石家庄市宇鑫防爆工具有限责任公司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911301856732291252</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34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797" w:type="dxa"/>
            <w:gridSpan w:val="3"/>
          </w:tcPr>
          <w:p>
            <w:pPr>
              <w:snapToGrid w:val="0"/>
              <w:spacing w:line="0" w:lineRule="atLeast"/>
              <w:jc w:val="left"/>
              <w:rPr>
                <w:sz w:val="22"/>
                <w:szCs w:val="22"/>
              </w:rPr>
            </w:pPr>
            <w:r>
              <w:rPr>
                <w:rFonts w:hint="eastAsia"/>
                <w:sz w:val="22"/>
                <w:szCs w:val="22"/>
                <w:lang w:val="en-GB"/>
              </w:rPr>
              <w:t>中文公司名称及地址</w:t>
            </w:r>
          </w:p>
        </w:tc>
        <w:tc>
          <w:tcPr>
            <w:tcW w:w="4589" w:type="dxa"/>
            <w:gridSpan w:val="5"/>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797" w:type="dxa"/>
            <w:gridSpan w:val="3"/>
          </w:tcPr>
          <w:p>
            <w:pPr>
              <w:snapToGrid w:val="0"/>
              <w:spacing w:line="0" w:lineRule="atLeast"/>
              <w:jc w:val="left"/>
              <w:rPr>
                <w:sz w:val="22"/>
                <w:szCs w:val="22"/>
                <w:lang w:val="en-GB"/>
              </w:rPr>
            </w:pPr>
            <w:bookmarkStart w:id="13" w:name="组织名称Add1"/>
            <w:r>
              <w:rPr>
                <w:rFonts w:hint="eastAsia"/>
                <w:sz w:val="22"/>
                <w:szCs w:val="22"/>
              </w:rPr>
              <w:t>石家庄市宇鑫防爆工具有限责任公司</w:t>
            </w:r>
            <w:bookmarkEnd w:id="13"/>
          </w:p>
        </w:tc>
        <w:tc>
          <w:tcPr>
            <w:tcW w:w="4589" w:type="dxa"/>
            <w:gridSpan w:val="5"/>
            <w:vMerge w:val="restart"/>
          </w:tcPr>
          <w:p>
            <w:pPr>
              <w:snapToGrid w:val="0"/>
              <w:spacing w:line="0" w:lineRule="atLeast"/>
              <w:jc w:val="left"/>
              <w:rPr>
                <w:sz w:val="22"/>
                <w:szCs w:val="22"/>
              </w:rPr>
            </w:pPr>
            <w:bookmarkStart w:id="14" w:name="审核范围"/>
            <w:r>
              <w:rPr>
                <w:sz w:val="22"/>
                <w:szCs w:val="22"/>
              </w:rPr>
              <w:t>铝青铜、铍青铜手动防爆工具的销售所涉及场所的相关环境管理活动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797" w:type="dxa"/>
            <w:gridSpan w:val="3"/>
          </w:tcPr>
          <w:p>
            <w:pPr>
              <w:snapToGrid w:val="0"/>
              <w:spacing w:line="0" w:lineRule="atLeast"/>
              <w:jc w:val="left"/>
              <w:rPr>
                <w:sz w:val="22"/>
                <w:szCs w:val="22"/>
              </w:rPr>
            </w:pPr>
            <w:bookmarkStart w:id="15" w:name="注册地址"/>
            <w:r>
              <w:rPr>
                <w:rFonts w:hint="eastAsia"/>
                <w:sz w:val="22"/>
                <w:szCs w:val="22"/>
                <w:lang w:val="en-GB"/>
              </w:rPr>
              <w:t>石家庄市鹿泉区新北路1号</w:t>
            </w:r>
            <w:bookmarkEnd w:id="15"/>
          </w:p>
        </w:tc>
        <w:tc>
          <w:tcPr>
            <w:tcW w:w="4589"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797" w:type="dxa"/>
            <w:gridSpan w:val="3"/>
          </w:tcPr>
          <w:p>
            <w:pPr>
              <w:snapToGrid w:val="0"/>
              <w:spacing w:line="0" w:lineRule="atLeast"/>
              <w:jc w:val="left"/>
              <w:rPr>
                <w:sz w:val="22"/>
                <w:szCs w:val="22"/>
              </w:rPr>
            </w:pPr>
            <w:r>
              <w:rPr>
                <w:rFonts w:hint="eastAsia"/>
                <w:sz w:val="21"/>
                <w:szCs w:val="21"/>
              </w:rPr>
              <w:t>河北省石家庄市井陉县上安镇上安西村(镇政府西700米)</w:t>
            </w:r>
          </w:p>
        </w:tc>
        <w:tc>
          <w:tcPr>
            <w:tcW w:w="4589" w:type="dxa"/>
            <w:gridSpan w:val="5"/>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797" w:type="dxa"/>
            <w:gridSpan w:val="3"/>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589" w:type="dxa"/>
            <w:gridSpan w:val="5"/>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797" w:type="dxa"/>
            <w:gridSpan w:val="3"/>
            <w:vMerge w:val="restart"/>
          </w:tcPr>
          <w:p>
            <w:pPr>
              <w:snapToGrid w:val="0"/>
              <w:spacing w:line="0" w:lineRule="atLeast"/>
              <w:jc w:val="left"/>
              <w:rPr>
                <w:sz w:val="22"/>
                <w:szCs w:val="22"/>
              </w:rPr>
            </w:pPr>
            <w:r>
              <w:rPr>
                <w:rFonts w:hint="eastAsia"/>
                <w:sz w:val="22"/>
                <w:szCs w:val="22"/>
              </w:rPr>
              <w:t>Shijiazhuang Yuxin explosion proof tools Co., Ltd</w:t>
            </w:r>
          </w:p>
        </w:tc>
        <w:tc>
          <w:tcPr>
            <w:tcW w:w="913" w:type="dxa"/>
            <w:vMerge w:val="restart"/>
          </w:tcPr>
          <w:p>
            <w:pPr>
              <w:snapToGrid w:val="0"/>
              <w:spacing w:line="0" w:lineRule="atLeast"/>
              <w:jc w:val="left"/>
              <w:rPr>
                <w:sz w:val="22"/>
                <w:szCs w:val="22"/>
              </w:rPr>
            </w:pPr>
            <w:r>
              <w:rPr>
                <w:rFonts w:hint="eastAsia"/>
                <w:sz w:val="22"/>
                <w:szCs w:val="22"/>
              </w:rPr>
              <w:t>EMS</w:t>
            </w:r>
          </w:p>
        </w:tc>
        <w:tc>
          <w:tcPr>
            <w:tcW w:w="3676" w:type="dxa"/>
            <w:gridSpan w:val="4"/>
            <w:vMerge w:val="restart"/>
          </w:tcPr>
          <w:p>
            <w:pPr>
              <w:snapToGrid w:val="0"/>
              <w:spacing w:line="0" w:lineRule="atLeast"/>
              <w:jc w:val="left"/>
              <w:rPr>
                <w:sz w:val="21"/>
                <w:szCs w:val="16"/>
              </w:rPr>
            </w:pPr>
            <w:r>
              <w:rPr>
                <w:rFonts w:hint="eastAsia"/>
                <w:sz w:val="21"/>
                <w:szCs w:val="16"/>
                <w:lang w:val="en-US" w:eastAsia="zh-CN"/>
              </w:rPr>
              <w:t xml:space="preserve">The </w:t>
            </w:r>
            <w:r>
              <w:rPr>
                <w:rFonts w:hint="eastAsia"/>
                <w:sz w:val="21"/>
                <w:szCs w:val="16"/>
              </w:rPr>
              <w:t>Environmental management activities related to the sales of aluminum bronze and beryllium bronze manual explosion-proof tools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797" w:type="dxa"/>
            <w:gridSpan w:val="3"/>
            <w:vMerge w:val="restart"/>
          </w:tcPr>
          <w:p>
            <w:pPr>
              <w:snapToGrid w:val="0"/>
              <w:spacing w:line="0" w:lineRule="atLeast"/>
              <w:jc w:val="left"/>
              <w:rPr>
                <w:sz w:val="22"/>
                <w:szCs w:val="22"/>
              </w:rPr>
            </w:pPr>
            <w:r>
              <w:rPr>
                <w:rFonts w:hint="eastAsia"/>
                <w:sz w:val="22"/>
                <w:szCs w:val="22"/>
              </w:rPr>
              <w:t>No. 1, Xinbei Road, Luquan District, Shijiazhuang</w:t>
            </w:r>
          </w:p>
        </w:tc>
        <w:tc>
          <w:tcPr>
            <w:tcW w:w="913" w:type="dxa"/>
            <w:vMerge w:val="continue"/>
          </w:tcPr>
          <w:p>
            <w:pPr>
              <w:snapToGrid w:val="0"/>
              <w:spacing w:line="0" w:lineRule="atLeast"/>
              <w:jc w:val="left"/>
              <w:rPr>
                <w:sz w:val="22"/>
                <w:szCs w:val="22"/>
              </w:rPr>
            </w:pPr>
          </w:p>
        </w:tc>
        <w:tc>
          <w:tcPr>
            <w:tcW w:w="367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797" w:type="dxa"/>
            <w:gridSpan w:val="3"/>
          </w:tcPr>
          <w:p>
            <w:pPr>
              <w:snapToGrid w:val="0"/>
              <w:spacing w:line="0" w:lineRule="atLeast"/>
              <w:jc w:val="left"/>
              <w:rPr>
                <w:sz w:val="22"/>
                <w:szCs w:val="22"/>
              </w:rPr>
            </w:pPr>
            <w:r>
              <w:rPr>
                <w:rFonts w:hint="eastAsia"/>
                <w:sz w:val="22"/>
                <w:szCs w:val="22"/>
              </w:rPr>
              <w:t>Shang An Xi Cun, Shang an town, Jingxing County, Shijiazhuang City, Hebei Province (700 meters west of the town government)</w:t>
            </w:r>
          </w:p>
        </w:tc>
        <w:tc>
          <w:tcPr>
            <w:tcW w:w="913" w:type="dxa"/>
            <w:vMerge w:val="continue"/>
          </w:tcPr>
          <w:p>
            <w:pPr>
              <w:snapToGrid w:val="0"/>
              <w:spacing w:line="0" w:lineRule="atLeast"/>
              <w:jc w:val="left"/>
              <w:rPr>
                <w:sz w:val="22"/>
                <w:szCs w:val="22"/>
              </w:rPr>
            </w:pPr>
          </w:p>
        </w:tc>
        <w:tc>
          <w:tcPr>
            <w:tcW w:w="367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ascii="宋体" w:hAnsi="宋体"/>
                <w:szCs w:val="21"/>
              </w:rPr>
              <w:drawing>
                <wp:anchor distT="0" distB="0" distL="114300" distR="114300" simplePos="0" relativeHeight="251659264" behindDoc="0" locked="0" layoutInCell="1" allowOverlap="1">
                  <wp:simplePos x="0" y="0"/>
                  <wp:positionH relativeFrom="column">
                    <wp:posOffset>4740275</wp:posOffset>
                  </wp:positionH>
                  <wp:positionV relativeFrom="paragraph">
                    <wp:posOffset>142875</wp:posOffset>
                  </wp:positionV>
                  <wp:extent cx="938530" cy="45212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5"/>
                          <a:stretch>
                            <a:fillRect/>
                          </a:stretch>
                        </pic:blipFill>
                        <pic:spPr>
                          <a:xfrm>
                            <a:off x="0" y="0"/>
                            <a:ext cx="938530" cy="452120"/>
                          </a:xfrm>
                          <a:prstGeom prst="rect">
                            <a:avLst/>
                          </a:prstGeom>
                          <a:noFill/>
                          <a:ln>
                            <a:noFill/>
                          </a:ln>
                        </pic:spPr>
                      </pic:pic>
                    </a:graphicData>
                  </a:graphic>
                </wp:anchor>
              </w:drawing>
            </w: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hint="eastAsia"/>
                <w:sz w:val="22"/>
                <w:szCs w:val="18"/>
                <w:lang w:val="en-GB"/>
              </w:rPr>
            </w:pPr>
            <w:r>
              <w:rPr>
                <w:rFonts w:hint="eastAsia" w:cs="Arial"/>
                <w:b/>
                <w:bCs/>
                <w:sz w:val="22"/>
                <w:szCs w:val="16"/>
              </w:rPr>
              <w:t>签章</w:t>
            </w:r>
          </w:p>
        </w:tc>
        <w:tc>
          <w:tcPr>
            <w:tcW w:w="2490" w:type="dxa"/>
          </w:tcPr>
          <w:p>
            <w:pPr>
              <w:snapToGrid w:val="0"/>
              <w:spacing w:line="0" w:lineRule="atLeast"/>
              <w:jc w:val="left"/>
              <w:rPr>
                <w:rFonts w:hint="eastAsia"/>
                <w:sz w:val="22"/>
                <w:szCs w:val="18"/>
                <w:lang w:val="en-GB"/>
              </w:rPr>
            </w:pPr>
          </w:p>
        </w:tc>
        <w:tc>
          <w:tcPr>
            <w:tcW w:w="2490" w:type="dxa"/>
            <w:gridSpan w:val="4"/>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2490" w:type="dxa"/>
            <w:gridSpan w:val="2"/>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0" w:type="dxa"/>
          </w:tcPr>
          <w:p>
            <w:pPr>
              <w:snapToGrid w:val="0"/>
              <w:spacing w:line="0" w:lineRule="atLeast"/>
              <w:jc w:val="left"/>
              <w:rPr>
                <w:rFonts w:hint="eastAsia"/>
                <w:sz w:val="22"/>
                <w:szCs w:val="18"/>
                <w:lang w:val="en-GB"/>
              </w:rPr>
            </w:pPr>
          </w:p>
        </w:tc>
        <w:tc>
          <w:tcPr>
            <w:tcW w:w="2490" w:type="dxa"/>
            <w:gridSpan w:val="4"/>
          </w:tcPr>
          <w:p>
            <w:pPr>
              <w:snapToGrid w:val="0"/>
              <w:spacing w:line="0" w:lineRule="atLeast"/>
              <w:jc w:val="left"/>
              <w:rPr>
                <w:rFonts w:hint="eastAsia" w:eastAsia="宋体"/>
                <w:sz w:val="22"/>
                <w:szCs w:val="18"/>
                <w:lang w:val="en-US" w:eastAsia="zh-CN"/>
              </w:rPr>
            </w:pPr>
            <w:r>
              <w:rPr>
                <w:rFonts w:hint="eastAsia"/>
                <w:sz w:val="22"/>
                <w:szCs w:val="18"/>
                <w:lang w:val="en-US" w:eastAsia="zh-CN"/>
              </w:rPr>
              <w:t>日期</w:t>
            </w:r>
          </w:p>
        </w:tc>
        <w:tc>
          <w:tcPr>
            <w:tcW w:w="2492" w:type="dxa"/>
            <w:gridSpan w:val="2"/>
          </w:tcPr>
          <w:p>
            <w:pPr>
              <w:snapToGrid w:val="0"/>
              <w:spacing w:line="0" w:lineRule="atLeast"/>
              <w:jc w:val="left"/>
              <w:rPr>
                <w:rFonts w:hint="default" w:eastAsia="宋体"/>
                <w:sz w:val="22"/>
                <w:szCs w:val="18"/>
                <w:lang w:val="en-US" w:eastAsia="zh-CN"/>
              </w:rPr>
            </w:pPr>
            <w:r>
              <w:rPr>
                <w:rFonts w:hint="eastAsia"/>
                <w:sz w:val="22"/>
                <w:szCs w:val="18"/>
                <w:lang w:val="en-US" w:eastAsia="zh-CN"/>
              </w:rPr>
              <w:t>2022.5.24</w:t>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rPr>
      </w:pPr>
    </w:p>
    <w:p>
      <w:pPr>
        <w:snapToGrid w:val="0"/>
        <w:spacing w:line="0" w:lineRule="atLeast"/>
        <w:rPr>
          <w:rFonts w:hint="eastAsia"/>
        </w:rPr>
      </w:pPr>
    </w:p>
    <w:p>
      <w:pPr>
        <w:snapToGrid w:val="0"/>
        <w:spacing w:line="0" w:lineRule="atLeast"/>
        <w:rPr>
          <w:b/>
          <w:color w:val="000000" w:themeColor="text1"/>
          <w:sz w:val="18"/>
          <w:szCs w:val="18"/>
          <w:lang w:val="en-GB"/>
        </w:rPr>
      </w:pPr>
      <w:r>
        <w:rPr>
          <w:rFonts w:hint="eastAsia" w:eastAsia="宋体"/>
          <w:lang w:eastAsia="zh-CN"/>
        </w:rPr>
        <w:drawing>
          <wp:inline distT="0" distB="0" distL="114300" distR="114300">
            <wp:extent cx="6188075" cy="8825865"/>
            <wp:effectExtent l="0" t="0" r="9525" b="635"/>
            <wp:docPr id="2" name="图片 2" descr="5530b67890087c4d1925b581ebc93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530b67890087c4d1925b581ebc937c"/>
                    <pic:cNvPicPr>
                      <a:picLocks noChangeAspect="1"/>
                    </pic:cNvPicPr>
                  </pic:nvPicPr>
                  <pic:blipFill>
                    <a:blip r:embed="rId6"/>
                    <a:stretch>
                      <a:fillRect/>
                    </a:stretch>
                  </pic:blipFill>
                  <pic:spPr>
                    <a:xfrm>
                      <a:off x="0" y="0"/>
                      <a:ext cx="6188075" cy="882586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7E43C55"/>
    <w:rsid w:val="50DD6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690</Words>
  <Characters>1134</Characters>
  <Lines>18</Lines>
  <Paragraphs>5</Paragraphs>
  <TotalTime>3</TotalTime>
  <ScaleCrop>false</ScaleCrop>
  <LinksUpToDate>false</LinksUpToDate>
  <CharactersWithSpaces>1279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2022-05-25T07:32:27Z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