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0458-2022-E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3289"/>
        <w:gridCol w:w="31"/>
        <w:gridCol w:w="1306"/>
        <w:gridCol w:w="330"/>
        <w:gridCol w:w="24"/>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石家庄市防爆工具厂</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91130100104414072C</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1" w:name="组织名称Add1"/>
            <w:r>
              <w:rPr>
                <w:rFonts w:hint="eastAsia"/>
                <w:sz w:val="22"/>
                <w:szCs w:val="22"/>
              </w:rPr>
              <w:t>石家庄市防爆工具厂</w:t>
            </w:r>
            <w:bookmarkEnd w:id="11"/>
          </w:p>
        </w:tc>
        <w:tc>
          <w:tcPr>
            <w:tcW w:w="5013" w:type="dxa"/>
            <w:gridSpan w:val="6"/>
            <w:vMerge w:val="restart"/>
          </w:tcPr>
          <w:p>
            <w:pPr>
              <w:snapToGrid w:val="0"/>
              <w:spacing w:line="0" w:lineRule="atLeast"/>
              <w:jc w:val="left"/>
              <w:rPr>
                <w:sz w:val="22"/>
                <w:szCs w:val="22"/>
              </w:rPr>
            </w:pPr>
            <w:bookmarkStart w:id="12" w:name="审核范围"/>
            <w:r>
              <w:rPr>
                <w:sz w:val="22"/>
                <w:szCs w:val="22"/>
              </w:rPr>
              <w:t>铝青铜、铍青铜手动防爆工具的销售所涉及场所的相关环境管理活动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3" w:name="注册地址"/>
            <w:r>
              <w:rPr>
                <w:rFonts w:hint="eastAsia"/>
                <w:sz w:val="22"/>
                <w:szCs w:val="22"/>
                <w:lang w:val="en-GB"/>
              </w:rPr>
              <w:t>石家庄市长安区胜利北街145号</w:t>
            </w:r>
            <w:bookmarkEnd w:id="13"/>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4" w:name="办公地址"/>
            <w:r>
              <w:rPr>
                <w:rFonts w:hint="eastAsia"/>
                <w:sz w:val="22"/>
                <w:szCs w:val="22"/>
                <w:lang w:val="en-GB"/>
              </w:rPr>
              <w:t>石家庄市长安区胜利北街145号</w:t>
            </w:r>
            <w:bookmarkEnd w:id="14"/>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eastAsia"/>
                <w:sz w:val="22"/>
                <w:szCs w:val="22"/>
              </w:rPr>
              <w:t>Shijiazhuang explosion proof tool factory</w:t>
            </w: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r>
              <w:rPr>
                <w:rFonts w:hint="eastAsia"/>
                <w:sz w:val="21"/>
                <w:szCs w:val="16"/>
                <w:lang w:val="en-US" w:eastAsia="zh-CN"/>
              </w:rPr>
              <w:t xml:space="preserve">The </w:t>
            </w:r>
            <w:r>
              <w:rPr>
                <w:rFonts w:hint="eastAsia"/>
                <w:sz w:val="21"/>
                <w:szCs w:val="16"/>
              </w:rPr>
              <w:t>Environmental management activities related to the sales of aluminum bronze and beryllium bronze manual explosion-proof tools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lang w:val="en-US" w:eastAsia="zh-CN"/>
              </w:rPr>
              <w:t>No.</w:t>
            </w:r>
            <w:r>
              <w:rPr>
                <w:rFonts w:hint="eastAsia"/>
                <w:sz w:val="22"/>
                <w:szCs w:val="22"/>
              </w:rPr>
              <w:t>145 Shengli North Street, Chang'an District, Shijiazhuang</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pPr>
              <w:snapToGrid w:val="0"/>
              <w:spacing w:line="0" w:lineRule="atLeast"/>
              <w:jc w:val="left"/>
              <w:rPr>
                <w:sz w:val="22"/>
                <w:szCs w:val="22"/>
              </w:rPr>
            </w:pPr>
            <w:r>
              <w:rPr>
                <w:rFonts w:hint="eastAsia"/>
                <w:sz w:val="22"/>
                <w:szCs w:val="22"/>
                <w:lang w:val="en-US" w:eastAsia="zh-CN"/>
              </w:rPr>
              <w:t>No.</w:t>
            </w:r>
            <w:r>
              <w:rPr>
                <w:rFonts w:hint="eastAsia"/>
                <w:sz w:val="22"/>
                <w:szCs w:val="22"/>
              </w:rPr>
              <w:t>145 Shengli North Street, Chang'an District, Shijiazhuang</w:t>
            </w: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eastAsia="宋体"/>
                <w:b w:val="0"/>
                <w:bCs w:val="0"/>
                <w:sz w:val="21"/>
                <w:szCs w:val="21"/>
                <w:lang w:eastAsia="zh-CN"/>
              </w:rPr>
              <w:drawing>
                <wp:anchor distT="0" distB="0" distL="114300" distR="114300" simplePos="0" relativeHeight="251660288" behindDoc="0" locked="0" layoutInCell="1" allowOverlap="1">
                  <wp:simplePos x="0" y="0"/>
                  <wp:positionH relativeFrom="column">
                    <wp:posOffset>4314190</wp:posOffset>
                  </wp:positionH>
                  <wp:positionV relativeFrom="paragraph">
                    <wp:posOffset>135890</wp:posOffset>
                  </wp:positionV>
                  <wp:extent cx="963295" cy="4641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963295" cy="464185"/>
                          </a:xfrm>
                          <a:prstGeom prst="rect">
                            <a:avLst/>
                          </a:prstGeom>
                          <a:noFill/>
                          <a:ln>
                            <a:noFill/>
                          </a:ln>
                        </pic:spPr>
                      </pic:pic>
                    </a:graphicData>
                  </a:graphic>
                </wp:anchor>
              </w:drawing>
            </w: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tcPr>
          <w:p>
            <w:pPr>
              <w:snapToGrid w:val="0"/>
              <w:spacing w:line="0" w:lineRule="atLeast"/>
              <w:jc w:val="left"/>
              <w:rPr>
                <w:rFonts w:hint="default" w:eastAsia="宋体"/>
                <w:sz w:val="22"/>
                <w:szCs w:val="18"/>
                <w:lang w:val="en-US" w:eastAsia="zh-CN"/>
              </w:rPr>
            </w:pPr>
            <w:r>
              <w:rPr>
                <w:rFonts w:hint="eastAsia"/>
                <w:sz w:val="22"/>
                <w:szCs w:val="18"/>
                <w:lang w:val="en-US" w:eastAsia="zh-CN"/>
              </w:rPr>
              <w:t>日期</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default" w:eastAsia="宋体"/>
                <w:sz w:val="22"/>
                <w:szCs w:val="18"/>
                <w:lang w:val="en-US" w:eastAsia="zh-CN"/>
              </w:rPr>
            </w:pPr>
            <w:r>
              <w:rPr>
                <w:rFonts w:hint="eastAsia"/>
                <w:sz w:val="22"/>
                <w:szCs w:val="18"/>
                <w:lang w:val="en-US" w:eastAsia="zh-CN"/>
              </w:rPr>
              <w:t>2022.5.23</w:t>
            </w: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b/>
          <w:color w:val="000000" w:themeColor="text1"/>
          <w:sz w:val="18"/>
          <w:szCs w:val="18"/>
          <w:lang w:val="en-GB"/>
        </w:rPr>
      </w:pPr>
      <w:r>
        <w:rPr>
          <w:rFonts w:hint="eastAsia" w:eastAsia="宋体"/>
          <w:lang w:eastAsia="zh-CN"/>
        </w:rPr>
        <w:drawing>
          <wp:inline distT="0" distB="0" distL="114300" distR="114300">
            <wp:extent cx="6186170" cy="8804275"/>
            <wp:effectExtent l="0" t="0" r="11430" b="9525"/>
            <wp:docPr id="2" name="图片 2" descr="0c29ab6c798d45277606a48ccf0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c29ab6c798d45277606a48ccf07122"/>
                    <pic:cNvPicPr>
                      <a:picLocks noChangeAspect="1"/>
                    </pic:cNvPicPr>
                  </pic:nvPicPr>
                  <pic:blipFill>
                    <a:blip r:embed="rId6"/>
                    <a:stretch>
                      <a:fillRect/>
                    </a:stretch>
                  </pic:blipFill>
                  <pic:spPr>
                    <a:xfrm>
                      <a:off x="0" y="0"/>
                      <a:ext cx="6186170" cy="8804275"/>
                    </a:xfrm>
                    <a:prstGeom prst="rect">
                      <a:avLst/>
                    </a:prstGeom>
                  </pic:spPr>
                </pic:pic>
              </a:graphicData>
            </a:graphic>
          </wp:inline>
        </w:drawing>
      </w:r>
      <w:bookmarkStart w:id="15" w:name="_GoBack"/>
      <w:bookmarkEnd w:id="15"/>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FB46B9A"/>
    <w:rsid w:val="5B6642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638</Words>
  <Characters>1026</Characters>
  <Lines>18</Lines>
  <Paragraphs>5</Paragraphs>
  <TotalTime>0</TotalTime>
  <ScaleCrop>false</ScaleCrop>
  <LinksUpToDate>false</LinksUpToDate>
  <CharactersWithSpaces>1146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2022-05-23T08:38:27Z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