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>
      <w:pPr>
        <w:rPr>
          <w:b/>
          <w:sz w:val="22"/>
          <w:szCs w:val="22"/>
        </w:rPr>
      </w:pP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2" w:name="组织名称"/>
            <w:r>
              <w:rPr>
                <w:sz w:val="21"/>
                <w:szCs w:val="21"/>
              </w:rPr>
              <w:t>四川惠建智能装备有限公司</w:t>
            </w:r>
            <w:bookmarkEnd w:id="2"/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rPr>
                <w:b/>
                <w:sz w:val="20"/>
              </w:rPr>
            </w:pPr>
            <w:r>
              <w:t>Q：18.05.07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文平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t>Q：18.05.07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视频培训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陈伟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客户需求——物料采购——组装——调试——</w:t>
            </w:r>
            <w:r>
              <w:rPr>
                <w:rFonts w:hint="eastAsia"/>
                <w:sz w:val="21"/>
                <w:szCs w:val="21"/>
                <w:lang w:eastAsia="zh-CN"/>
              </w:rPr>
              <w:t>入库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关键</w:t>
            </w:r>
            <w:r>
              <w:rPr>
                <w:rFonts w:hint="eastAsia"/>
                <w:b/>
                <w:sz w:val="20"/>
                <w:lang w:val="en-US" w:eastAsia="zh-CN"/>
              </w:rPr>
              <w:t>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</w:rPr>
              <w:t>主要质量要求：组装、调试质量</w:t>
            </w:r>
            <w:r>
              <w:rPr>
                <w:rFonts w:hint="eastAsia"/>
                <w:sz w:val="21"/>
                <w:szCs w:val="21"/>
                <w:lang w:eastAsia="zh-CN"/>
              </w:rPr>
              <w:t>，</w:t>
            </w:r>
            <w:r>
              <w:rPr>
                <w:rFonts w:hint="eastAsia"/>
                <w:sz w:val="21"/>
                <w:szCs w:val="21"/>
              </w:rPr>
              <w:t>关键控制点：组装过程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风险控制措施：人员安全教育培训，制订操作规程，设备的维护保养等措施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质量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/>
                <w:b/>
                <w:sz w:val="20"/>
                <w:lang w:val="en-US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中华人民共和国安全消防法、中华人民共和国劳动合同法、中华人民共和国安全生产法、涂装设备通用技术条件 第1部分：钣金件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 w:val="21"/>
                <w:szCs w:val="21"/>
                <w:lang w:eastAsia="zh-CN"/>
              </w:rPr>
              <w:t>JB/T 10394.1-2002、涂装设备通用技术条件 第2部分：焊接件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JB/T 10394.2-2002、涂装设备通用技术条件 第3部分：涂层 JB/T 10394.3-2002、涂装设备通用技术条件 第4部分：安装 JB/T 10394.4-2002及客户要求等。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 w:val="0"/>
                <w:bCs/>
                <w:sz w:val="20"/>
                <w:lang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400685</wp:posOffset>
                  </wp:positionH>
                  <wp:positionV relativeFrom="paragraph">
                    <wp:posOffset>201295</wp:posOffset>
                  </wp:positionV>
                  <wp:extent cx="371475" cy="341630"/>
                  <wp:effectExtent l="0" t="0" r="9525" b="1270"/>
                  <wp:wrapNone/>
                  <wp:docPr id="13" name="图片 1" descr="C:\Users\24309\Desktop\文平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" descr="C:\Users\24309\Desktop\文平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3416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2022.5.19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388620</wp:posOffset>
                  </wp:positionH>
                  <wp:positionV relativeFrom="paragraph">
                    <wp:posOffset>231775</wp:posOffset>
                  </wp:positionV>
                  <wp:extent cx="371475" cy="341630"/>
                  <wp:effectExtent l="0" t="0" r="9525" b="1270"/>
                  <wp:wrapNone/>
                  <wp:docPr id="1" name="图片 1" descr="C:\Users\24309\Desktop\文平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24309\Desktop\文平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3416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2022.5.19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  <w:lang w:eastAsia="zh-CN"/>
        </w:rPr>
        <w:t>☑</w:t>
      </w:r>
      <w:r>
        <w:rPr>
          <w:b/>
          <w:sz w:val="22"/>
          <w:szCs w:val="22"/>
        </w:rPr>
        <w:t xml:space="preserve">EMS  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四川惠建智能装备有限公司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lang w:val="en-US" w:eastAsia="zh-CN"/>
              </w:rPr>
              <w:t>E</w:t>
            </w:r>
            <w:r>
              <w:t>：18.05.07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文平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lang w:val="en-US" w:eastAsia="zh-CN"/>
              </w:rPr>
              <w:t>E</w:t>
            </w:r>
            <w:r>
              <w:t>：18.05.07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eastAsia="zh-CN"/>
              </w:rPr>
              <w:t>视频培训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eastAsia="zh-CN"/>
              </w:rPr>
              <w:t>陈伟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客户需求——物料采购——组装——调试——</w:t>
            </w:r>
            <w:r>
              <w:rPr>
                <w:rFonts w:hint="eastAsia"/>
                <w:sz w:val="21"/>
                <w:szCs w:val="21"/>
                <w:lang w:eastAsia="zh-CN"/>
              </w:rPr>
              <w:t>入库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</w:t>
            </w:r>
            <w:r>
              <w:rPr>
                <w:rFonts w:hint="eastAsia"/>
                <w:b/>
                <w:sz w:val="20"/>
                <w:lang w:val="en-US" w:eastAsia="zh-CN"/>
              </w:rPr>
              <w:t>因素</w:t>
            </w:r>
            <w:r>
              <w:rPr>
                <w:rFonts w:hint="eastAsia"/>
                <w:b/>
                <w:sz w:val="20"/>
              </w:rPr>
              <w:t>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</w:rPr>
              <w:t>重要环境因素：固废排放、潜在火灾</w:t>
            </w:r>
            <w:r>
              <w:rPr>
                <w:rFonts w:hint="eastAsia"/>
                <w:sz w:val="21"/>
                <w:szCs w:val="21"/>
                <w:lang w:eastAsia="zh-CN"/>
              </w:rPr>
              <w:t>。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通过管理方案和预案控制。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环境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大气污染物综合排放标准（GB16297-1996）二级标准；《污水排入城镇下水道水质标准》(GB/T31962-2015)表1中B级标准；《工业企业厂界环境噪声排放标准》（GB12348-2008）3类等。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环境监测报告（适用时）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 w:val="0"/>
                <w:bCs/>
                <w:sz w:val="20"/>
                <w:lang w:eastAsia="zh-CN"/>
              </w:rPr>
            </w:pPr>
            <w:r>
              <w:rPr>
                <w:rFonts w:hint="eastAsia"/>
                <w:b w:val="0"/>
                <w:bCs/>
                <w:sz w:val="20"/>
                <w:lang w:eastAsia="zh-CN"/>
              </w:rPr>
              <w:t>不适用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 w:val="0"/>
                <w:bCs/>
                <w:sz w:val="20"/>
                <w:lang w:eastAsia="zh-CN"/>
              </w:rPr>
            </w:pPr>
            <w:r>
              <w:rPr>
                <w:rFonts w:hint="eastAsia"/>
                <w:b w:val="0"/>
                <w:bCs/>
                <w:sz w:val="20"/>
                <w:lang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461010</wp:posOffset>
                  </wp:positionH>
                  <wp:positionV relativeFrom="paragraph">
                    <wp:posOffset>212090</wp:posOffset>
                  </wp:positionV>
                  <wp:extent cx="371475" cy="341630"/>
                  <wp:effectExtent l="0" t="0" r="9525" b="1270"/>
                  <wp:wrapNone/>
                  <wp:docPr id="3" name="图片 1" descr="C:\Users\24309\Desktop\文平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 descr="C:\Users\24309\Desktop\文平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3416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2022.5.19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391795</wp:posOffset>
                  </wp:positionH>
                  <wp:positionV relativeFrom="paragraph">
                    <wp:posOffset>194310</wp:posOffset>
                  </wp:positionV>
                  <wp:extent cx="371475" cy="341630"/>
                  <wp:effectExtent l="0" t="0" r="9525" b="1270"/>
                  <wp:wrapNone/>
                  <wp:docPr id="4" name="图片 1" descr="C:\Users\24309\Desktop\文平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1" descr="C:\Users\24309\Desktop\文平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3416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2022.5.19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bookmarkStart w:id="3" w:name="_GoBack"/>
      <w:bookmarkEnd w:id="3"/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0"/>
        <w:rFonts w:hint="default"/>
      </w:rPr>
    </w:pPr>
    <w:r>
      <w:rPr>
        <w:rStyle w:val="10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文本框 1025" o:spid="_x0000_s2049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docVars>
    <w:docVar w:name="commondata" w:val="eyJoZGlkIjoiZjFmNDE1OTA0NjMzMTc3MjRkMDFmMDVlMjFhNzg3YjQifQ=="/>
  </w:docVars>
  <w:rsids>
    <w:rsidRoot w:val="00000000"/>
    <w:rsid w:val="026E699E"/>
    <w:rsid w:val="029D16E1"/>
    <w:rsid w:val="07500980"/>
    <w:rsid w:val="0F41676A"/>
    <w:rsid w:val="107728F9"/>
    <w:rsid w:val="124915FF"/>
    <w:rsid w:val="1DD575F8"/>
    <w:rsid w:val="1FC00A72"/>
    <w:rsid w:val="207033FB"/>
    <w:rsid w:val="22560A16"/>
    <w:rsid w:val="24BF6A15"/>
    <w:rsid w:val="2E2E2E3E"/>
    <w:rsid w:val="2F2A2B97"/>
    <w:rsid w:val="359C672E"/>
    <w:rsid w:val="36D26037"/>
    <w:rsid w:val="3E792B7D"/>
    <w:rsid w:val="456D5FE0"/>
    <w:rsid w:val="48B0274E"/>
    <w:rsid w:val="4A311A18"/>
    <w:rsid w:val="4D2B4E39"/>
    <w:rsid w:val="4D5F2D35"/>
    <w:rsid w:val="528C4C50"/>
    <w:rsid w:val="629077A9"/>
    <w:rsid w:val="6E49116B"/>
    <w:rsid w:val="71213CDA"/>
    <w:rsid w:val="746D116A"/>
    <w:rsid w:val="7A20546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1105</Words>
  <Characters>1280</Characters>
  <Lines>2</Lines>
  <Paragraphs>1</Paragraphs>
  <TotalTime>0</TotalTime>
  <ScaleCrop>false</ScaleCrop>
  <LinksUpToDate>false</LinksUpToDate>
  <CharactersWithSpaces>1296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way一直都在</cp:lastModifiedBy>
  <dcterms:modified xsi:type="dcterms:W3CDTF">2022-05-19T11:08:50Z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2052-11.1.0.11691</vt:lpwstr>
  </property>
</Properties>
</file>