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EAB3" w14:textId="77777777" w:rsidR="005C0A53" w:rsidRPr="005C0A53" w:rsidRDefault="0099711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9C9D5D5" w14:textId="5EE6C8EF" w:rsidR="008F6BDE" w:rsidRDefault="0099711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0615-2021-2022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992"/>
        <w:gridCol w:w="1134"/>
        <w:gridCol w:w="993"/>
        <w:gridCol w:w="1559"/>
        <w:gridCol w:w="1701"/>
        <w:gridCol w:w="1559"/>
        <w:gridCol w:w="1134"/>
        <w:gridCol w:w="1068"/>
      </w:tblGrid>
      <w:tr w:rsidR="001E0A04" w14:paraId="41FE6944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F1D0926" w14:textId="77777777" w:rsidR="0044252F" w:rsidRDefault="00997111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7F4B632" w14:textId="77777777" w:rsidR="0044252F" w:rsidRDefault="00997111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杭州电瓦特科技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1E0A04" w14:paraId="5E127F22" w14:textId="77777777" w:rsidTr="00D27D43">
        <w:trPr>
          <w:trHeight w:val="628"/>
          <w:jc w:val="center"/>
        </w:trPr>
        <w:tc>
          <w:tcPr>
            <w:tcW w:w="1092" w:type="dxa"/>
            <w:vAlign w:val="center"/>
          </w:tcPr>
          <w:p w14:paraId="58192C05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8BA9F3F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A7C0F27" w14:textId="77777777" w:rsid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45E07C9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3" w:type="dxa"/>
            <w:vAlign w:val="center"/>
          </w:tcPr>
          <w:p w14:paraId="365D81D6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3C4AC416" w14:textId="77777777" w:rsidR="009D3F5B" w:rsidRPr="00AA60B9" w:rsidRDefault="0099711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B515590" w14:textId="77777777" w:rsidR="0044252F" w:rsidRPr="00AA60B9" w:rsidRDefault="00997111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1A4C396D" w14:textId="77777777" w:rsidR="0044252F" w:rsidRPr="00AA60B9" w:rsidRDefault="0099711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943C257" w14:textId="188AE6F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7838934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C3364A2" w14:textId="77777777" w:rsidR="0044252F" w:rsidRPr="008D0A78" w:rsidRDefault="00997111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AA88566" w14:textId="77777777" w:rsidR="0044252F" w:rsidRPr="008D0A78" w:rsidRDefault="0099711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E3EBB" w14:paraId="714559AE" w14:textId="77777777" w:rsidTr="00D27D43">
        <w:trPr>
          <w:trHeight w:val="566"/>
          <w:jc w:val="center"/>
        </w:trPr>
        <w:tc>
          <w:tcPr>
            <w:tcW w:w="1092" w:type="dxa"/>
            <w:vAlign w:val="center"/>
          </w:tcPr>
          <w:p w14:paraId="06A41678" w14:textId="0BE084FB" w:rsidR="005E3EBB" w:rsidRPr="008D0A78" w:rsidRDefault="005E3EBB" w:rsidP="005E3EB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30CC9F0F" w14:textId="77777777" w:rsidR="00D27D43" w:rsidRDefault="005E3EBB" w:rsidP="005E3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</w:t>
            </w:r>
          </w:p>
          <w:p w14:paraId="5FFEA846" w14:textId="3A1ACA38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万用表</w:t>
            </w:r>
          </w:p>
        </w:tc>
        <w:tc>
          <w:tcPr>
            <w:tcW w:w="1134" w:type="dxa"/>
            <w:vAlign w:val="center"/>
          </w:tcPr>
          <w:p w14:paraId="478A657D" w14:textId="05D7CFC2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999141514</w:t>
            </w:r>
          </w:p>
        </w:tc>
        <w:tc>
          <w:tcPr>
            <w:tcW w:w="993" w:type="dxa"/>
            <w:vAlign w:val="center"/>
          </w:tcPr>
          <w:p w14:paraId="23644102" w14:textId="434A02B1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VC890D</w:t>
            </w:r>
          </w:p>
        </w:tc>
        <w:tc>
          <w:tcPr>
            <w:tcW w:w="1559" w:type="dxa"/>
            <w:vAlign w:val="center"/>
          </w:tcPr>
          <w:p w14:paraId="09562981" w14:textId="77777777" w:rsidR="005E3EBB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=0.12%(k=2)</w:t>
            </w:r>
          </w:p>
          <w:p w14:paraId="4982EE3D" w14:textId="77777777" w:rsidR="005E3EBB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=0.16%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EFA72BA" w14:textId="77777777" w:rsidR="005E3EBB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直流电流：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=0.13%(k=2) </w:t>
            </w:r>
          </w:p>
          <w:p w14:paraId="291017DF" w14:textId="77777777" w:rsidR="005E3EBB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=0.15%(k=2)</w:t>
            </w:r>
          </w:p>
          <w:p w14:paraId="581E9FF9" w14:textId="697098BB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电阻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1036F724" w14:textId="77777777" w:rsidR="00D27D43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多功能校准源：</w:t>
            </w:r>
          </w:p>
          <w:p w14:paraId="7FED809B" w14:textId="77777777" w:rsidR="00D27D43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 w:rsidR="00D27D43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output*11ppm+2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81D5D47" w14:textId="0EEB9CDD" w:rsidR="00D27D43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output*150ppm+0.02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F15F9D4" w14:textId="77777777" w:rsidR="00D27D43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output*150ppm+6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C9167EA" w14:textId="77777777" w:rsidR="00D27D43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output*0.04+2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9EC00C7" w14:textId="291DF01E" w:rsidR="005E3EBB" w:rsidRPr="008D0A78" w:rsidRDefault="005E3EBB" w:rsidP="00D27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Ω±（</w:t>
            </w:r>
            <w:r>
              <w:rPr>
                <w:rFonts w:hint="eastAsia"/>
                <w:sz w:val="18"/>
                <w:szCs w:val="18"/>
              </w:rPr>
              <w:t>output*28ppm+0.0014</w:t>
            </w:r>
            <w:r>
              <w:rPr>
                <w:rFonts w:hint="eastAsia"/>
                <w:sz w:val="18"/>
                <w:szCs w:val="18"/>
              </w:rPr>
              <w:t>Ω）</w:t>
            </w:r>
          </w:p>
        </w:tc>
        <w:tc>
          <w:tcPr>
            <w:tcW w:w="1559" w:type="dxa"/>
            <w:vAlign w:val="center"/>
          </w:tcPr>
          <w:p w14:paraId="5DE6ACA8" w14:textId="5F162944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34" w:type="dxa"/>
            <w:vAlign w:val="center"/>
          </w:tcPr>
          <w:p w14:paraId="757A851D" w14:textId="219EE799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21.5.28</w:t>
            </w:r>
          </w:p>
        </w:tc>
        <w:tc>
          <w:tcPr>
            <w:tcW w:w="1068" w:type="dxa"/>
            <w:vAlign w:val="center"/>
          </w:tcPr>
          <w:p w14:paraId="7851B2CD" w14:textId="6827999E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5E3EBB" w14:paraId="4CA1F454" w14:textId="77777777" w:rsidTr="00D27D43">
        <w:trPr>
          <w:trHeight w:val="546"/>
          <w:jc w:val="center"/>
        </w:trPr>
        <w:tc>
          <w:tcPr>
            <w:tcW w:w="1092" w:type="dxa"/>
            <w:vAlign w:val="center"/>
          </w:tcPr>
          <w:p w14:paraId="30B1D06B" w14:textId="77777777" w:rsidR="00D27D43" w:rsidRDefault="005E3EBB" w:rsidP="005E3EB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</w:t>
            </w:r>
          </w:p>
          <w:p w14:paraId="0C8E681E" w14:textId="34FEDEB0" w:rsidR="005E3EBB" w:rsidRPr="008D0A78" w:rsidRDefault="005E3EBB" w:rsidP="005E3EB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992" w:type="dxa"/>
            <w:vAlign w:val="center"/>
          </w:tcPr>
          <w:p w14:paraId="4E3CFCC5" w14:textId="3DB06498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14BA0269" w14:textId="330FF5BC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YBKC-1#</w:t>
            </w:r>
          </w:p>
        </w:tc>
        <w:tc>
          <w:tcPr>
            <w:tcW w:w="993" w:type="dxa"/>
            <w:vAlign w:val="center"/>
          </w:tcPr>
          <w:p w14:paraId="0652F0F6" w14:textId="77777777" w:rsidR="005E3EBB" w:rsidRDefault="005E3EBB" w:rsidP="005E3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(0-150)</w:t>
            </w:r>
          </w:p>
          <w:p w14:paraId="3EFB3EC0" w14:textId="36F2C1AB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47A325F7" w14:textId="11BE2EFC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D27D43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08FBFB45" w14:textId="77777777" w:rsidR="005E3EBB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卡尺专用量块：</w:t>
            </w:r>
          </w:p>
          <w:p w14:paraId="58F442E1" w14:textId="45E3320D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DB69CE3" w14:textId="3803E81A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34" w:type="dxa"/>
            <w:vAlign w:val="center"/>
          </w:tcPr>
          <w:p w14:paraId="51AD8090" w14:textId="08EBFCF3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1068" w:type="dxa"/>
            <w:vAlign w:val="center"/>
          </w:tcPr>
          <w:p w14:paraId="0829F4D3" w14:textId="60539F09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5E3EBB" w14:paraId="6089E625" w14:textId="77777777" w:rsidTr="00D27D43">
        <w:trPr>
          <w:trHeight w:val="568"/>
          <w:jc w:val="center"/>
        </w:trPr>
        <w:tc>
          <w:tcPr>
            <w:tcW w:w="1092" w:type="dxa"/>
            <w:vAlign w:val="center"/>
          </w:tcPr>
          <w:p w14:paraId="6DC95F88" w14:textId="77777777" w:rsidR="00D27D43" w:rsidRDefault="005E3EBB" w:rsidP="005E3EB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</w:t>
            </w:r>
          </w:p>
          <w:p w14:paraId="7C2724C3" w14:textId="3095617A" w:rsidR="005E3EBB" w:rsidRPr="008D0A78" w:rsidRDefault="005E3EBB" w:rsidP="005E3EB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992" w:type="dxa"/>
            <w:vAlign w:val="center"/>
          </w:tcPr>
          <w:p w14:paraId="04BA3C69" w14:textId="32E08761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14:paraId="77AC4D73" w14:textId="6AB65580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GZC-1#</w:t>
            </w:r>
          </w:p>
        </w:tc>
        <w:tc>
          <w:tcPr>
            <w:tcW w:w="993" w:type="dxa"/>
            <w:vAlign w:val="center"/>
          </w:tcPr>
          <w:p w14:paraId="282435A8" w14:textId="6FFAF15B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300mm</w:t>
            </w:r>
          </w:p>
        </w:tc>
        <w:tc>
          <w:tcPr>
            <w:tcW w:w="1559" w:type="dxa"/>
            <w:vAlign w:val="center"/>
          </w:tcPr>
          <w:p w14:paraId="102B31B2" w14:textId="090A1271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0.1mm</w:t>
            </w:r>
          </w:p>
        </w:tc>
        <w:tc>
          <w:tcPr>
            <w:tcW w:w="1701" w:type="dxa"/>
            <w:vAlign w:val="center"/>
          </w:tcPr>
          <w:p w14:paraId="641E2DF6" w14:textId="0C84B64B" w:rsidR="005E3EBB" w:rsidRPr="008D0A78" w:rsidRDefault="005E3EBB" w:rsidP="00D27D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74D62E53" w14:textId="179BB9F4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34" w:type="dxa"/>
            <w:vAlign w:val="center"/>
          </w:tcPr>
          <w:p w14:paraId="57BC1EF0" w14:textId="422E25BD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1068" w:type="dxa"/>
            <w:vAlign w:val="center"/>
          </w:tcPr>
          <w:p w14:paraId="66FBAF88" w14:textId="7F6AA9A2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5E3EBB" w14:paraId="32BFF5D2" w14:textId="77777777" w:rsidTr="00D27D43">
        <w:trPr>
          <w:trHeight w:val="568"/>
          <w:jc w:val="center"/>
        </w:trPr>
        <w:tc>
          <w:tcPr>
            <w:tcW w:w="1092" w:type="dxa"/>
            <w:vAlign w:val="center"/>
          </w:tcPr>
          <w:p w14:paraId="28289A98" w14:textId="77777777" w:rsidR="00D27D43" w:rsidRDefault="005E3EBB" w:rsidP="005E3EB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</w:t>
            </w:r>
          </w:p>
          <w:p w14:paraId="254F0F4E" w14:textId="6162D8EB" w:rsidR="005E3EBB" w:rsidRPr="008D0A78" w:rsidRDefault="005E3EBB" w:rsidP="005E3EB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992" w:type="dxa"/>
            <w:vAlign w:val="center"/>
          </w:tcPr>
          <w:p w14:paraId="650AF275" w14:textId="05190FF4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70046B83" w14:textId="2D85ADFA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GJC-1#</w:t>
            </w:r>
          </w:p>
        </w:tc>
        <w:tc>
          <w:tcPr>
            <w:tcW w:w="993" w:type="dxa"/>
            <w:vAlign w:val="center"/>
          </w:tcPr>
          <w:p w14:paraId="749D67D7" w14:textId="7C701B58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1559" w:type="dxa"/>
            <w:vAlign w:val="center"/>
          </w:tcPr>
          <w:p w14:paraId="55A588A2" w14:textId="73D602C4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0.3+0.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74350685" w14:textId="77777777" w:rsidR="005E3EBB" w:rsidRDefault="005E3EBB" w:rsidP="005E3EBB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标准钢卷尺：</w:t>
            </w:r>
          </w:p>
          <w:p w14:paraId="4A778D7C" w14:textId="31481D1F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677BB7B2" w14:textId="499CA00D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34" w:type="dxa"/>
            <w:vAlign w:val="center"/>
          </w:tcPr>
          <w:p w14:paraId="104305DA" w14:textId="16F2514C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1068" w:type="dxa"/>
            <w:vAlign w:val="center"/>
          </w:tcPr>
          <w:p w14:paraId="76443C08" w14:textId="69259DB5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5E3EBB" w14:paraId="1027311D" w14:textId="77777777" w:rsidTr="00D27D43">
        <w:trPr>
          <w:trHeight w:val="568"/>
          <w:jc w:val="center"/>
        </w:trPr>
        <w:tc>
          <w:tcPr>
            <w:tcW w:w="1092" w:type="dxa"/>
            <w:vAlign w:val="center"/>
          </w:tcPr>
          <w:p w14:paraId="280F1CE8" w14:textId="77777777" w:rsidR="00D27D43" w:rsidRDefault="005E3EBB" w:rsidP="005E3EB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</w:t>
            </w:r>
          </w:p>
          <w:p w14:paraId="094636F5" w14:textId="38BF9049" w:rsidR="005E3EBB" w:rsidRPr="008D0A78" w:rsidRDefault="005E3EBB" w:rsidP="005E3EB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992" w:type="dxa"/>
            <w:vAlign w:val="center"/>
          </w:tcPr>
          <w:p w14:paraId="65B71B49" w14:textId="012F2561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三相电能表校验装置</w:t>
            </w:r>
          </w:p>
        </w:tc>
        <w:tc>
          <w:tcPr>
            <w:tcW w:w="1134" w:type="dxa"/>
          </w:tcPr>
          <w:p w14:paraId="3C9EA7E5" w14:textId="08B9B6DC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2104096</w:t>
            </w:r>
          </w:p>
        </w:tc>
        <w:tc>
          <w:tcPr>
            <w:tcW w:w="993" w:type="dxa"/>
            <w:vAlign w:val="center"/>
          </w:tcPr>
          <w:p w14:paraId="2D9BD702" w14:textId="57A8C760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KP-S3000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559" w:type="dxa"/>
            <w:vAlign w:val="center"/>
          </w:tcPr>
          <w:p w14:paraId="4E9420E5" w14:textId="00F58EB9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3BEE1BC" w14:textId="67710D19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三相标准功率电能表：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CE6BC64" w14:textId="77105345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6AD63306" w14:textId="4857658B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2021.6.10</w:t>
            </w:r>
          </w:p>
        </w:tc>
        <w:tc>
          <w:tcPr>
            <w:tcW w:w="1068" w:type="dxa"/>
          </w:tcPr>
          <w:p w14:paraId="5BDF597D" w14:textId="77777777" w:rsidR="005E3EBB" w:rsidRDefault="005E3EBB" w:rsidP="005E3EB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36706032" w14:textId="22790201" w:rsidR="005E3EBB" w:rsidRPr="008D0A78" w:rsidRDefault="005E3EBB" w:rsidP="005E3EB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1E0A04" w14:paraId="23714E48" w14:textId="77777777" w:rsidTr="00D27D43">
        <w:trPr>
          <w:trHeight w:val="1764"/>
          <w:jc w:val="center"/>
        </w:trPr>
        <w:tc>
          <w:tcPr>
            <w:tcW w:w="11232" w:type="dxa"/>
            <w:gridSpan w:val="9"/>
          </w:tcPr>
          <w:p w14:paraId="117AA2BC" w14:textId="4A361408" w:rsidR="0044252F" w:rsidRDefault="0099711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1D72423" w14:textId="135064B0" w:rsidR="0044252F" w:rsidRPr="00D27D43" w:rsidRDefault="00997111" w:rsidP="00D27D43">
            <w:pPr>
              <w:widowControl/>
              <w:ind w:firstLineChars="200" w:firstLine="420"/>
              <w:jc w:val="left"/>
            </w:pP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D27D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5E3EBB" w:rsidRPr="00D27D43">
              <w:rPr>
                <w:rFonts w:ascii="宋体" w:eastAsia="宋体" w:hAnsi="宋体" w:cs="宋体" w:hint="eastAsia"/>
                <w:kern w:val="0"/>
                <w:szCs w:val="21"/>
              </w:rPr>
              <w:t>综合管理部</w:t>
            </w: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5E3EBB" w:rsidRPr="00D27D43">
              <w:rPr>
                <w:rFonts w:ascii="宋体" w:eastAsia="宋体" w:hAnsi="宋体" w:cs="宋体" w:hint="eastAsia"/>
                <w:kern w:val="0"/>
                <w:szCs w:val="21"/>
              </w:rPr>
              <w:t>中国电子科技集团公司第五十二研究所校准实验室、浙江省计量科学研究院</w:t>
            </w: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D27D4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E3EBB" w:rsidRPr="00D27D43">
              <w:rPr>
                <w:rFonts w:ascii="宋体" w:eastAsia="宋体" w:hAnsi="宋体" w:cs="宋体" w:hint="eastAsia"/>
                <w:kern w:val="0"/>
                <w:szCs w:val="21"/>
              </w:rPr>
              <w:t>综合管理部</w:t>
            </w:r>
            <w:r w:rsidRPr="00D27D43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041B3949" w14:textId="77777777" w:rsidR="0044252F" w:rsidRDefault="00A3741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E0A04" w14:paraId="7E34421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CD4F2CD" w14:textId="7761DD61" w:rsidR="0044252F" w:rsidRDefault="00997111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E3E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E3EB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E3EB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E3EBB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E3E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E3EBB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E3EBB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E3EBB">
              <w:rPr>
                <w:rFonts w:ascii="Times New Roman" w:eastAsia="宋体" w:hAnsi="Times New Roman" w:cs="Times New Roman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4B591E3" w14:textId="788AD497" w:rsidR="005E3EBB" w:rsidRDefault="00372E0B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407BAEE0" wp14:editId="3D2244FB">
                  <wp:simplePos x="0" y="0"/>
                  <wp:positionH relativeFrom="column">
                    <wp:posOffset>4113604</wp:posOffset>
                  </wp:positionH>
                  <wp:positionV relativeFrom="paragraph">
                    <wp:posOffset>78917</wp:posOffset>
                  </wp:positionV>
                  <wp:extent cx="652145" cy="4267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7B88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9F13CC0" wp14:editId="3F173A4B">
                  <wp:simplePos x="0" y="0"/>
                  <wp:positionH relativeFrom="column">
                    <wp:posOffset>947169</wp:posOffset>
                  </wp:positionH>
                  <wp:positionV relativeFrom="paragraph">
                    <wp:posOffset>91750</wp:posOffset>
                  </wp:positionV>
                  <wp:extent cx="737235" cy="431165"/>
                  <wp:effectExtent l="0" t="0" r="5715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776397" w14:textId="7959792E" w:rsidR="0044252F" w:rsidRPr="00D27D43" w:rsidRDefault="00997111" w:rsidP="00D27D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35D93D75" w14:textId="77777777" w:rsidR="008D0A78" w:rsidRDefault="00A3741B" w:rsidP="005C0A53"/>
    <w:p w14:paraId="6A179322" w14:textId="77777777" w:rsidR="008F6BDE" w:rsidRPr="0044252F" w:rsidRDefault="0099711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0910" w14:textId="77777777" w:rsidR="00A3741B" w:rsidRDefault="00A3741B">
      <w:r>
        <w:separator/>
      </w:r>
    </w:p>
  </w:endnote>
  <w:endnote w:type="continuationSeparator" w:id="0">
    <w:p w14:paraId="79C8A90C" w14:textId="77777777" w:rsidR="00A3741B" w:rsidRDefault="00A3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D952" w14:textId="77777777" w:rsidR="008F6BDE" w:rsidRDefault="00A3741B" w:rsidP="005C0A53">
    <w:pPr>
      <w:pStyle w:val="a5"/>
    </w:pPr>
  </w:p>
  <w:p w14:paraId="5E63054A" w14:textId="77777777" w:rsidR="008F6BDE" w:rsidRDefault="00A37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DD09" w14:textId="77777777" w:rsidR="00A3741B" w:rsidRDefault="00A3741B">
      <w:r>
        <w:separator/>
      </w:r>
    </w:p>
  </w:footnote>
  <w:footnote w:type="continuationSeparator" w:id="0">
    <w:p w14:paraId="279CECBE" w14:textId="77777777" w:rsidR="00A3741B" w:rsidRDefault="00A3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B017" w14:textId="77777777" w:rsidR="008F6BDE" w:rsidRDefault="00997111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66DD104" wp14:editId="5DF83E9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AAC2292" w14:textId="77777777" w:rsidR="008F6BDE" w:rsidRDefault="00A3741B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78569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CEDB9D2" w14:textId="77777777" w:rsidR="008F6BDE" w:rsidRDefault="009971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971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B70811" w14:textId="77777777" w:rsidR="008F6BDE" w:rsidRDefault="00997111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BD4387" w14:textId="77777777" w:rsidR="008F6BDE" w:rsidRDefault="00A3741B">
    <w:r>
      <w:pict w14:anchorId="741E63F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A04"/>
    <w:rsid w:val="001E0A04"/>
    <w:rsid w:val="00372E0B"/>
    <w:rsid w:val="005E3EBB"/>
    <w:rsid w:val="006F7933"/>
    <w:rsid w:val="00997111"/>
    <w:rsid w:val="009A10BF"/>
    <w:rsid w:val="00A3741B"/>
    <w:rsid w:val="00C47B88"/>
    <w:rsid w:val="00C6088A"/>
    <w:rsid w:val="00D27D43"/>
    <w:rsid w:val="00F9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91E1A4"/>
  <w15:docId w15:val="{C4B85D30-226A-41C4-A2F6-D28D568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46</cp:revision>
  <dcterms:created xsi:type="dcterms:W3CDTF">2015-11-02T14:51:00Z</dcterms:created>
  <dcterms:modified xsi:type="dcterms:W3CDTF">2022-05-26T12:23:00Z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