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spacing w:line="360" w:lineRule="auto"/>
        <w:ind w:right="105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0210-2021</w:t>
      </w:r>
      <w:r>
        <w:rPr>
          <w:rFonts w:hint="eastAsia"/>
          <w:szCs w:val="21"/>
          <w:u w:val="single"/>
        </w:rPr>
        <w:t>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48"/>
        <w:gridCol w:w="1433"/>
        <w:gridCol w:w="1268"/>
        <w:gridCol w:w="1009"/>
        <w:gridCol w:w="1249"/>
        <w:gridCol w:w="1519"/>
        <w:gridCol w:w="126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65" w:type="dxa"/>
            <w:gridSpan w:val="8"/>
            <w:vAlign w:val="center"/>
          </w:tcPr>
          <w:p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成都厚德富铭环境科技有限公司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紫外可见智能型多参数水质测定仪（氮）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19BLH3BA8121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LH-3BA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=4%,</w:t>
            </w:r>
            <w:r>
              <w:rPr>
                <w:rFonts w:hint="eastAsia"/>
                <w:i/>
                <w:iCs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总磷、总氮水质在线分析仪检定装置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=3%,</w:t>
            </w:r>
            <w:r>
              <w:rPr>
                <w:rFonts w:hint="eastAsia"/>
                <w:i/>
                <w:iCs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2021.12.24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技术管理部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单标线容量瓶</w:t>
            </w:r>
          </w:p>
        </w:tc>
        <w:tc>
          <w:tcPr>
            <w:tcW w:w="1433" w:type="dxa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A1000mL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A级合格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电子天平Ⅱ级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2022.5.16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技术管理部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分度吸量管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A10mL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A级合格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电子天平Ⅰ级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2022.5.16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技术管理部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量筒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X</w:t>
            </w:r>
            <w:r>
              <w:rPr>
                <w:rFonts w:hint="eastAsia"/>
                <w:szCs w:val="21"/>
                <w:lang w:val="en-US" w:eastAsia="zh-CN"/>
              </w:rPr>
              <w:t>100mL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电子天平Ⅱ级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2022.5.16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148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便携式酸度计</w:t>
            </w:r>
          </w:p>
        </w:tc>
        <w:tc>
          <w:tcPr>
            <w:tcW w:w="1433" w:type="dxa"/>
            <w:vAlign w:val="top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YK06202109053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P611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0.01级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酸度计检定装置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标准物质：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=0.005pH,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szCs w:val="21"/>
                <w:lang w:val="en-US" w:eastAsia="zh-CN"/>
              </w:rPr>
              <w:t>=8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2021.12.24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综合管理部</w:t>
            </w:r>
          </w:p>
        </w:tc>
        <w:tc>
          <w:tcPr>
            <w:tcW w:w="1148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AII251806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ESJ200-4B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Ⅰ级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电子天平检定装置E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、F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1、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2021.12.24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（抽查有效文件、溯源原始记录、证书报告，进行评价，说明理由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最高计量标准，测量设备由</w:t>
            </w:r>
            <w:r>
              <w:rPr>
                <w:rFonts w:hint="eastAsia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Cs w:val="21"/>
                <w:lang w:val="en-US" w:eastAsia="zh-CN"/>
              </w:rPr>
              <w:t>成都市计量检定测试院检定/校准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证书由</w:t>
            </w:r>
            <w:r>
              <w:rPr>
                <w:rFonts w:hint="eastAsia"/>
                <w:szCs w:val="21"/>
                <w:lang w:val="en-US" w:eastAsia="zh-CN"/>
              </w:rPr>
              <w:t>综合管理部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4420870</wp:posOffset>
                  </wp:positionH>
                  <wp:positionV relativeFrom="paragraph">
                    <wp:posOffset>289560</wp:posOffset>
                  </wp:positionV>
                  <wp:extent cx="1078865" cy="462915"/>
                  <wp:effectExtent l="0" t="0" r="635" b="6985"/>
                  <wp:wrapNone/>
                  <wp:docPr id="1" name="图片 1" descr="640f37a4875c6ca09311d1829c94d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40f37a4875c6ca09311d1829c94dd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678180" cy="264795"/>
                  <wp:effectExtent l="0" t="0" r="0" b="1905"/>
                  <wp:docPr id="2" name="图片 2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hODIwNzg4YzUxYmQ5NTM3YmU0Mzc4Mzk0N2MzNDkifQ=="/>
  </w:docVars>
  <w:rsids>
    <w:rsidRoot w:val="00450A45"/>
    <w:rsid w:val="00450A45"/>
    <w:rsid w:val="006252A5"/>
    <w:rsid w:val="00786B80"/>
    <w:rsid w:val="00A2013C"/>
    <w:rsid w:val="00E1265E"/>
    <w:rsid w:val="0BC25367"/>
    <w:rsid w:val="0CF41D57"/>
    <w:rsid w:val="12D14358"/>
    <w:rsid w:val="14BF158F"/>
    <w:rsid w:val="159B7C4F"/>
    <w:rsid w:val="23C10A8E"/>
    <w:rsid w:val="30685B9C"/>
    <w:rsid w:val="3644184B"/>
    <w:rsid w:val="36A46D03"/>
    <w:rsid w:val="420C1F98"/>
    <w:rsid w:val="50780457"/>
    <w:rsid w:val="56B1058C"/>
    <w:rsid w:val="590C2C49"/>
    <w:rsid w:val="5FE4125A"/>
    <w:rsid w:val="61E47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562</Words>
  <Characters>732</Characters>
  <Lines>5</Lines>
  <Paragraphs>1</Paragraphs>
  <TotalTime>1</TotalTime>
  <ScaleCrop>false</ScaleCrop>
  <LinksUpToDate>false</LinksUpToDate>
  <CharactersWithSpaces>838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2022-05-24T07:58:03Z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A078BB098B194A218197E0A6B0C5AB0C</vt:lpwstr>
  </property>
</Properties>
</file>