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0460-2022-QEO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325"/>
        <w:gridCol w:w="2757"/>
        <w:gridCol w:w="791"/>
        <w:gridCol w:w="746"/>
        <w:gridCol w:w="686"/>
        <w:gridCol w:w="134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619"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任丘市金益电气设备有限公司</w:t>
            </w:r>
            <w:bookmarkEnd w:id="1"/>
          </w:p>
        </w:tc>
        <w:tc>
          <w:tcPr>
            <w:tcW w:w="2032"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Pr>
          <w:p>
            <w:pPr>
              <w:snapToGrid w:val="0"/>
              <w:spacing w:line="0" w:lineRule="atLeast"/>
              <w:jc w:val="center"/>
              <w:rPr>
                <w:sz w:val="22"/>
                <w:szCs w:val="22"/>
              </w:rPr>
            </w:pPr>
            <w:r>
              <w:rPr>
                <w:rFonts w:hint="eastAsia"/>
                <w:sz w:val="22"/>
                <w:szCs w:val="22"/>
                <w:lang w:val="en-GB"/>
              </w:rPr>
              <w:t xml:space="preserve">订单号 </w:t>
            </w:r>
          </w:p>
        </w:tc>
        <w:tc>
          <w:tcPr>
            <w:tcW w:w="4619" w:type="dxa"/>
            <w:gridSpan w:val="4"/>
          </w:tcPr>
          <w:p>
            <w:pPr>
              <w:snapToGrid w:val="0"/>
              <w:spacing w:line="0" w:lineRule="atLeast"/>
              <w:jc w:val="center"/>
              <w:rPr>
                <w:sz w:val="22"/>
                <w:szCs w:val="22"/>
              </w:rPr>
            </w:pPr>
          </w:p>
        </w:tc>
        <w:tc>
          <w:tcPr>
            <w:tcW w:w="2032"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Pr>
          <w:p>
            <w:pPr>
              <w:snapToGrid w:val="0"/>
              <w:spacing w:line="0" w:lineRule="atLeast"/>
              <w:jc w:val="center"/>
              <w:rPr>
                <w:sz w:val="22"/>
                <w:szCs w:val="22"/>
              </w:rPr>
            </w:pPr>
            <w:r>
              <w:rPr>
                <w:rFonts w:hint="eastAsia"/>
                <w:sz w:val="22"/>
                <w:szCs w:val="22"/>
                <w:lang w:val="en-US" w:eastAsia="zh-CN"/>
              </w:rPr>
              <w:t>信用</w:t>
            </w:r>
            <w:r>
              <w:rPr>
                <w:rFonts w:hint="eastAsia"/>
                <w:sz w:val="22"/>
                <w:szCs w:val="22"/>
                <w:lang w:val="en-GB"/>
              </w:rPr>
              <w:t>代码</w:t>
            </w:r>
          </w:p>
        </w:tc>
        <w:tc>
          <w:tcPr>
            <w:tcW w:w="4619" w:type="dxa"/>
            <w:gridSpan w:val="4"/>
          </w:tcPr>
          <w:p>
            <w:pPr>
              <w:snapToGrid w:val="0"/>
              <w:spacing w:line="0" w:lineRule="atLeast"/>
              <w:jc w:val="center"/>
              <w:rPr>
                <w:sz w:val="22"/>
                <w:szCs w:val="22"/>
              </w:rPr>
            </w:pPr>
            <w:bookmarkStart w:id="4" w:name="机构代码"/>
            <w:r>
              <w:rPr>
                <w:sz w:val="22"/>
                <w:szCs w:val="22"/>
              </w:rPr>
              <w:t>91130982095758964P</w:t>
            </w:r>
            <w:bookmarkEnd w:id="4"/>
          </w:p>
        </w:tc>
        <w:tc>
          <w:tcPr>
            <w:tcW w:w="2032"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619" w:type="dxa"/>
            <w:gridSpan w:val="4"/>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tc>
        <w:tc>
          <w:tcPr>
            <w:tcW w:w="2032"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Q:15,E:15,O:15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Pr>
          <w:p>
            <w:pPr>
              <w:snapToGrid w:val="0"/>
              <w:spacing w:line="0" w:lineRule="atLeast"/>
              <w:jc w:val="center"/>
              <w:rPr>
                <w:sz w:val="22"/>
                <w:szCs w:val="22"/>
              </w:rPr>
            </w:pPr>
            <w:r>
              <w:rPr>
                <w:rFonts w:hint="eastAsia"/>
                <w:sz w:val="22"/>
                <w:szCs w:val="22"/>
              </w:rPr>
              <w:t>审核类型</w:t>
            </w:r>
          </w:p>
        </w:tc>
        <w:tc>
          <w:tcPr>
            <w:tcW w:w="8627" w:type="dxa"/>
            <w:gridSpan w:val="7"/>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Pr>
          <w:p>
            <w:pPr>
              <w:snapToGrid w:val="0"/>
              <w:spacing w:line="0" w:lineRule="atLeast"/>
              <w:jc w:val="center"/>
              <w:rPr>
                <w:sz w:val="22"/>
                <w:szCs w:val="22"/>
              </w:rPr>
            </w:pPr>
            <w:r>
              <w:rPr>
                <w:rFonts w:hint="eastAsia"/>
                <w:sz w:val="22"/>
                <w:szCs w:val="22"/>
              </w:rPr>
              <w:t>变更内容</w:t>
            </w:r>
          </w:p>
        </w:tc>
        <w:tc>
          <w:tcPr>
            <w:tcW w:w="8627" w:type="dxa"/>
            <w:gridSpan w:val="7"/>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Pr>
          <w:p>
            <w:pPr>
              <w:snapToGrid w:val="0"/>
              <w:spacing w:line="0" w:lineRule="atLeast"/>
              <w:jc w:val="left"/>
              <w:rPr>
                <w:sz w:val="22"/>
                <w:szCs w:val="22"/>
              </w:rPr>
            </w:pPr>
          </w:p>
        </w:tc>
        <w:tc>
          <w:tcPr>
            <w:tcW w:w="3082" w:type="dxa"/>
            <w:gridSpan w:val="2"/>
          </w:tcPr>
          <w:p>
            <w:pPr>
              <w:snapToGrid w:val="0"/>
              <w:spacing w:line="0" w:lineRule="atLeast"/>
              <w:jc w:val="left"/>
              <w:rPr>
                <w:sz w:val="22"/>
                <w:szCs w:val="22"/>
              </w:rPr>
            </w:pPr>
            <w:r>
              <w:rPr>
                <w:rFonts w:hint="eastAsia"/>
                <w:sz w:val="22"/>
                <w:szCs w:val="22"/>
                <w:lang w:val="en-GB"/>
              </w:rPr>
              <w:t>中文公司名称及地址</w:t>
            </w:r>
          </w:p>
        </w:tc>
        <w:tc>
          <w:tcPr>
            <w:tcW w:w="5545" w:type="dxa"/>
            <w:gridSpan w:val="5"/>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35" w:type="dxa"/>
          </w:tcPr>
          <w:p>
            <w:pPr>
              <w:snapToGrid w:val="0"/>
              <w:spacing w:line="0" w:lineRule="atLeast"/>
              <w:jc w:val="left"/>
              <w:rPr>
                <w:sz w:val="22"/>
                <w:szCs w:val="22"/>
              </w:rPr>
            </w:pPr>
            <w:r>
              <w:rPr>
                <w:rFonts w:hint="eastAsia"/>
                <w:sz w:val="22"/>
                <w:szCs w:val="22"/>
                <w:lang w:val="en-GB"/>
              </w:rPr>
              <w:t>公司名称</w:t>
            </w:r>
          </w:p>
        </w:tc>
        <w:tc>
          <w:tcPr>
            <w:tcW w:w="3082" w:type="dxa"/>
            <w:gridSpan w:val="2"/>
          </w:tcPr>
          <w:p>
            <w:pPr>
              <w:snapToGrid w:val="0"/>
              <w:spacing w:line="0" w:lineRule="atLeast"/>
              <w:jc w:val="left"/>
              <w:rPr>
                <w:sz w:val="22"/>
                <w:szCs w:val="22"/>
                <w:lang w:val="en-GB"/>
              </w:rPr>
            </w:pPr>
            <w:bookmarkStart w:id="13" w:name="组织名称Add1"/>
            <w:r>
              <w:rPr>
                <w:rFonts w:hint="eastAsia"/>
                <w:sz w:val="22"/>
                <w:szCs w:val="22"/>
              </w:rPr>
              <w:t>任丘市金益电气设备有限公司</w:t>
            </w:r>
            <w:bookmarkEnd w:id="13"/>
          </w:p>
        </w:tc>
        <w:tc>
          <w:tcPr>
            <w:tcW w:w="5545" w:type="dxa"/>
            <w:gridSpan w:val="5"/>
            <w:vMerge w:val="restart"/>
          </w:tcPr>
          <w:p>
            <w:pPr>
              <w:snapToGrid w:val="0"/>
              <w:spacing w:line="0" w:lineRule="atLeast"/>
              <w:jc w:val="left"/>
              <w:rPr>
                <w:sz w:val="22"/>
                <w:szCs w:val="22"/>
              </w:rPr>
            </w:pPr>
            <w:bookmarkStart w:id="14" w:name="审核范围"/>
            <w:r>
              <w:rPr>
                <w:sz w:val="22"/>
                <w:szCs w:val="22"/>
              </w:rPr>
              <w:t>Q：电力安全工器具（携带型接地线，验电器，接地棒，令克棒，绝缘梯，脚扣，围栏，安全绳，标牌，防鸟设备）、应急包（箱）、防坠器、气体保护焊枪的生产；避雷器，安全带，安全帽、绝缘子的销售</w:t>
            </w:r>
          </w:p>
          <w:p>
            <w:pPr>
              <w:snapToGrid w:val="0"/>
              <w:spacing w:line="0" w:lineRule="atLeast"/>
              <w:jc w:val="left"/>
              <w:rPr>
                <w:sz w:val="22"/>
                <w:szCs w:val="22"/>
              </w:rPr>
            </w:pPr>
            <w:r>
              <w:rPr>
                <w:sz w:val="22"/>
                <w:szCs w:val="22"/>
              </w:rPr>
              <w:t>E：电力安全工器具（携带型接地线，验电器，接地棒，令克棒，绝缘梯，脚扣，围栏，安全绳，标牌，防鸟设备）、应急包（箱）、防坠器、气体保护焊枪的生产；避雷器，安全带，安全帽、绝缘子的销售所涉及场所的相关环境管理活动</w:t>
            </w:r>
          </w:p>
          <w:p>
            <w:pPr>
              <w:snapToGrid w:val="0"/>
              <w:spacing w:line="0" w:lineRule="atLeast"/>
              <w:jc w:val="left"/>
              <w:rPr>
                <w:sz w:val="22"/>
                <w:szCs w:val="22"/>
              </w:rPr>
            </w:pPr>
            <w:r>
              <w:rPr>
                <w:sz w:val="22"/>
                <w:szCs w:val="22"/>
              </w:rPr>
              <w:t>O：电力安全工器具（携带型接地线，验电器，接地棒，令克棒，绝缘梯，脚扣，围栏，安全绳，标牌，防鸟设备）、应急包（箱）、防坠器、气体保护焊枪的生产；避雷器，安全带，安全帽、绝缘子的销售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335" w:type="dxa"/>
          </w:tcPr>
          <w:p>
            <w:pPr>
              <w:snapToGrid w:val="0"/>
              <w:spacing w:line="0" w:lineRule="atLeast"/>
              <w:jc w:val="left"/>
              <w:rPr>
                <w:sz w:val="22"/>
                <w:szCs w:val="22"/>
              </w:rPr>
            </w:pPr>
            <w:r>
              <w:rPr>
                <w:rFonts w:hint="eastAsia"/>
                <w:sz w:val="22"/>
                <w:szCs w:val="22"/>
                <w:lang w:val="en-GB"/>
              </w:rPr>
              <w:t>注册地址</w:t>
            </w:r>
          </w:p>
        </w:tc>
        <w:tc>
          <w:tcPr>
            <w:tcW w:w="3082" w:type="dxa"/>
            <w:gridSpan w:val="2"/>
          </w:tcPr>
          <w:p>
            <w:pPr>
              <w:snapToGrid w:val="0"/>
              <w:spacing w:line="0" w:lineRule="atLeast"/>
              <w:jc w:val="left"/>
              <w:rPr>
                <w:sz w:val="22"/>
                <w:szCs w:val="22"/>
              </w:rPr>
            </w:pPr>
            <w:bookmarkStart w:id="15" w:name="注册地址"/>
            <w:r>
              <w:rPr>
                <w:rFonts w:hint="eastAsia"/>
                <w:sz w:val="22"/>
                <w:szCs w:val="22"/>
                <w:lang w:val="en-GB"/>
              </w:rPr>
              <w:t>任丘市吕公堡镇陈庄村北</w:t>
            </w:r>
            <w:bookmarkEnd w:id="15"/>
          </w:p>
        </w:tc>
        <w:tc>
          <w:tcPr>
            <w:tcW w:w="5545"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35" w:type="dxa"/>
          </w:tcPr>
          <w:p>
            <w:pPr>
              <w:snapToGrid w:val="0"/>
              <w:spacing w:line="0" w:lineRule="atLeast"/>
              <w:jc w:val="left"/>
              <w:rPr>
                <w:sz w:val="22"/>
                <w:szCs w:val="22"/>
                <w:lang w:val="en-GB"/>
              </w:rPr>
            </w:pPr>
            <w:r>
              <w:rPr>
                <w:rFonts w:hint="eastAsia"/>
                <w:sz w:val="22"/>
                <w:szCs w:val="22"/>
                <w:lang w:val="en-GB"/>
              </w:rPr>
              <w:t>经营地址</w:t>
            </w:r>
          </w:p>
        </w:tc>
        <w:tc>
          <w:tcPr>
            <w:tcW w:w="3082" w:type="dxa"/>
            <w:gridSpan w:val="2"/>
          </w:tcPr>
          <w:p>
            <w:pPr>
              <w:snapToGrid w:val="0"/>
              <w:spacing w:line="0" w:lineRule="atLeast"/>
              <w:jc w:val="left"/>
              <w:rPr>
                <w:rFonts w:hint="eastAsia"/>
                <w:sz w:val="22"/>
                <w:szCs w:val="22"/>
                <w:lang w:val="en-GB" w:eastAsia="zh-CN"/>
              </w:rPr>
            </w:pPr>
            <w:bookmarkStart w:id="16" w:name="办公地址"/>
            <w:r>
              <w:rPr>
                <w:rFonts w:hint="eastAsia"/>
                <w:sz w:val="22"/>
                <w:szCs w:val="22"/>
                <w:lang w:val="en-GB"/>
              </w:rPr>
              <w:t>任丘市吕公堡镇陈庄村北</w:t>
            </w:r>
            <w:bookmarkEnd w:id="16"/>
            <w:r>
              <w:rPr>
                <w:rFonts w:hint="eastAsia"/>
                <w:sz w:val="22"/>
                <w:szCs w:val="22"/>
                <w:lang w:val="en-GB" w:eastAsia="zh-CN"/>
              </w:rPr>
              <w:t>；</w:t>
            </w:r>
          </w:p>
          <w:p>
            <w:pPr>
              <w:snapToGrid w:val="0"/>
              <w:spacing w:line="0" w:lineRule="atLeast"/>
              <w:jc w:val="left"/>
              <w:rPr>
                <w:rFonts w:hint="eastAsia"/>
                <w:sz w:val="22"/>
                <w:szCs w:val="22"/>
                <w:lang w:val="en-GB" w:eastAsia="zh-CN"/>
              </w:rPr>
            </w:pPr>
            <w:r>
              <w:rPr>
                <w:rFonts w:hint="eastAsia"/>
                <w:sz w:val="21"/>
                <w:szCs w:val="21"/>
              </w:rPr>
              <w:t>任丘市梁召镇新城花园北门北行50米</w:t>
            </w:r>
          </w:p>
        </w:tc>
        <w:tc>
          <w:tcPr>
            <w:tcW w:w="5545"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Pr>
          <w:p>
            <w:pPr>
              <w:snapToGrid w:val="0"/>
              <w:spacing w:line="0" w:lineRule="atLeast"/>
              <w:jc w:val="left"/>
              <w:rPr>
                <w:sz w:val="22"/>
                <w:szCs w:val="22"/>
              </w:rPr>
            </w:pPr>
          </w:p>
        </w:tc>
        <w:tc>
          <w:tcPr>
            <w:tcW w:w="3082"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545" w:type="dxa"/>
            <w:gridSpan w:val="5"/>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1335"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082" w:type="dxa"/>
            <w:gridSpan w:val="2"/>
          </w:tcPr>
          <w:p>
            <w:pPr>
              <w:snapToGrid w:val="0"/>
              <w:spacing w:line="0" w:lineRule="atLeast"/>
              <w:jc w:val="left"/>
              <w:rPr>
                <w:sz w:val="22"/>
                <w:szCs w:val="22"/>
              </w:rPr>
            </w:pPr>
            <w:r>
              <w:rPr>
                <w:rFonts w:hint="eastAsia" w:cs="Arial"/>
                <w:b/>
                <w:bCs/>
                <w:sz w:val="22"/>
                <w:szCs w:val="16"/>
              </w:rPr>
              <w:t>Renqiu Jinyi Electrical Equipment Co., Ltd</w:t>
            </w:r>
          </w:p>
        </w:tc>
        <w:tc>
          <w:tcPr>
            <w:tcW w:w="791" w:type="dxa"/>
          </w:tcPr>
          <w:p>
            <w:pPr>
              <w:snapToGrid w:val="0"/>
              <w:spacing w:line="0" w:lineRule="atLeast"/>
              <w:jc w:val="left"/>
              <w:rPr>
                <w:sz w:val="22"/>
                <w:szCs w:val="22"/>
              </w:rPr>
            </w:pPr>
            <w:r>
              <w:rPr>
                <w:rFonts w:hint="eastAsia"/>
                <w:sz w:val="22"/>
                <w:szCs w:val="22"/>
              </w:rPr>
              <w:t>QMS</w:t>
            </w:r>
          </w:p>
        </w:tc>
        <w:tc>
          <w:tcPr>
            <w:tcW w:w="4754" w:type="dxa"/>
            <w:gridSpan w:val="4"/>
          </w:tcPr>
          <w:p>
            <w:pPr>
              <w:snapToGrid w:val="0"/>
              <w:spacing w:line="0" w:lineRule="atLeast"/>
              <w:jc w:val="left"/>
              <w:rPr>
                <w:sz w:val="21"/>
                <w:szCs w:val="16"/>
              </w:rPr>
            </w:pPr>
            <w:r>
              <w:rPr>
                <w:rFonts w:hint="eastAsia"/>
                <w:sz w:val="21"/>
                <w:szCs w:val="16"/>
              </w:rPr>
              <w:t>Production of electric safety tools and instruments (portable grounding wire, electroscope, grounding rod, Lingke rod, insulating ladder, foot buckle, fence, safety rope, sign, bird proof equipment), emergency bag (box), fall protector and gas shielded welding gun; Sales of lightning arresters, safety belts, safety helmets and insulators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trPr>
        <w:tc>
          <w:tcPr>
            <w:tcW w:w="1335"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082" w:type="dxa"/>
            <w:gridSpan w:val="2"/>
          </w:tcPr>
          <w:p>
            <w:pPr>
              <w:snapToGrid w:val="0"/>
              <w:spacing w:line="0" w:lineRule="atLeast"/>
              <w:jc w:val="left"/>
              <w:rPr>
                <w:sz w:val="22"/>
                <w:szCs w:val="22"/>
              </w:rPr>
            </w:pPr>
            <w:r>
              <w:rPr>
                <w:rFonts w:hint="eastAsia" w:cs="Arial"/>
                <w:b/>
                <w:bCs/>
                <w:sz w:val="22"/>
                <w:szCs w:val="16"/>
              </w:rPr>
              <w:t>North of Chenzhuang village, lugongbao Town, Renqiu City</w:t>
            </w:r>
          </w:p>
        </w:tc>
        <w:tc>
          <w:tcPr>
            <w:tcW w:w="791" w:type="dxa"/>
          </w:tcPr>
          <w:p>
            <w:pPr>
              <w:snapToGrid w:val="0"/>
              <w:spacing w:line="0" w:lineRule="atLeast"/>
              <w:jc w:val="left"/>
              <w:rPr>
                <w:sz w:val="22"/>
                <w:szCs w:val="22"/>
              </w:rPr>
            </w:pPr>
            <w:r>
              <w:rPr>
                <w:rFonts w:hint="eastAsia"/>
                <w:sz w:val="22"/>
                <w:szCs w:val="22"/>
              </w:rPr>
              <w:t>EMS</w:t>
            </w:r>
          </w:p>
        </w:tc>
        <w:tc>
          <w:tcPr>
            <w:tcW w:w="4754" w:type="dxa"/>
            <w:gridSpan w:val="4"/>
          </w:tcPr>
          <w:p>
            <w:pPr>
              <w:snapToGrid w:val="0"/>
              <w:spacing w:line="0" w:lineRule="atLeast"/>
              <w:jc w:val="left"/>
              <w:rPr>
                <w:sz w:val="22"/>
                <w:szCs w:val="22"/>
              </w:rPr>
            </w:pPr>
            <w:r>
              <w:rPr>
                <w:rFonts w:hint="eastAsia"/>
                <w:sz w:val="22"/>
                <w:szCs w:val="22"/>
                <w:lang w:val="en-US" w:eastAsia="zh-CN"/>
              </w:rPr>
              <w:t xml:space="preserve">The </w:t>
            </w:r>
            <w:r>
              <w:rPr>
                <w:rFonts w:hint="eastAsia"/>
                <w:sz w:val="22"/>
                <w:szCs w:val="22"/>
              </w:rPr>
              <w:t>Relevant environmental management activities in the places involved in the</w:t>
            </w:r>
            <w:r>
              <w:rPr>
                <w:rFonts w:hint="eastAsia"/>
                <w:sz w:val="22"/>
                <w:szCs w:val="22"/>
                <w:lang w:val="en-US" w:eastAsia="zh-CN"/>
              </w:rPr>
              <w:t xml:space="preserve"> </w:t>
            </w:r>
            <w:r>
              <w:rPr>
                <w:rFonts w:hint="eastAsia"/>
                <w:sz w:val="22"/>
                <w:szCs w:val="22"/>
              </w:rPr>
              <w:t>Production of electric safety tools and instruments (portable grounding wire, electroscope, grounding rod, Lingke rod, insulating ladder, foot buckle, fence, safety rope, sign, bird proof equipment), emergency bag (box), fall protector and gas shielded welding gun; Sales of lightning arresters, safety belts, safety helmets and insulators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35"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082" w:type="dxa"/>
            <w:gridSpan w:val="2"/>
          </w:tcPr>
          <w:p>
            <w:pPr>
              <w:snapToGrid w:val="0"/>
              <w:spacing w:line="0" w:lineRule="atLeast"/>
              <w:jc w:val="left"/>
              <w:rPr>
                <w:rFonts w:hint="eastAsia" w:cs="Arial"/>
                <w:b/>
                <w:bCs/>
                <w:sz w:val="22"/>
                <w:szCs w:val="16"/>
                <w:lang w:eastAsia="zh-CN"/>
              </w:rPr>
            </w:pPr>
            <w:r>
              <w:rPr>
                <w:rFonts w:hint="eastAsia" w:cs="Arial"/>
                <w:b/>
                <w:bCs/>
                <w:sz w:val="22"/>
                <w:szCs w:val="16"/>
              </w:rPr>
              <w:t>North of Chenzhuang village, lugongbao Town, Renqiu City</w:t>
            </w:r>
            <w:r>
              <w:rPr>
                <w:rFonts w:hint="eastAsia" w:cs="Arial"/>
                <w:b/>
                <w:bCs/>
                <w:sz w:val="22"/>
                <w:szCs w:val="16"/>
                <w:lang w:eastAsia="zh-CN"/>
              </w:rPr>
              <w:t>；</w:t>
            </w:r>
          </w:p>
          <w:p>
            <w:pPr>
              <w:snapToGrid w:val="0"/>
              <w:spacing w:line="0" w:lineRule="atLeast"/>
              <w:jc w:val="left"/>
              <w:rPr>
                <w:rFonts w:hint="eastAsia" w:cs="Arial"/>
                <w:b/>
                <w:bCs/>
                <w:sz w:val="22"/>
                <w:szCs w:val="16"/>
                <w:lang w:eastAsia="zh-CN"/>
              </w:rPr>
            </w:pPr>
            <w:r>
              <w:rPr>
                <w:rFonts w:hint="eastAsia" w:cs="Arial"/>
                <w:b/>
                <w:bCs/>
                <w:sz w:val="22"/>
                <w:szCs w:val="16"/>
                <w:lang w:eastAsia="zh-CN"/>
              </w:rPr>
              <w:t>50 meters northbound from the north gate of Xincheng garden, Liangzhao Town, Renqiu City</w:t>
            </w:r>
          </w:p>
        </w:tc>
        <w:tc>
          <w:tcPr>
            <w:tcW w:w="791" w:type="dxa"/>
          </w:tcPr>
          <w:p>
            <w:pPr>
              <w:snapToGrid w:val="0"/>
              <w:spacing w:line="0" w:lineRule="atLeast"/>
              <w:jc w:val="left"/>
              <w:rPr>
                <w:sz w:val="22"/>
                <w:szCs w:val="22"/>
              </w:rPr>
            </w:pPr>
            <w:r>
              <w:rPr>
                <w:rFonts w:hint="eastAsia"/>
                <w:sz w:val="22"/>
                <w:szCs w:val="22"/>
              </w:rPr>
              <w:t>OHSMS</w:t>
            </w:r>
          </w:p>
        </w:tc>
        <w:tc>
          <w:tcPr>
            <w:tcW w:w="4754" w:type="dxa"/>
            <w:gridSpan w:val="4"/>
          </w:tcPr>
          <w:p>
            <w:pPr>
              <w:snapToGrid w:val="0"/>
              <w:spacing w:line="0" w:lineRule="atLeast"/>
              <w:jc w:val="left"/>
              <w:rPr>
                <w:sz w:val="22"/>
                <w:szCs w:val="22"/>
              </w:rPr>
            </w:pPr>
            <w:r>
              <w:rPr>
                <w:rFonts w:hint="eastAsia"/>
                <w:sz w:val="22"/>
                <w:szCs w:val="22"/>
                <w:lang w:val="en-US" w:eastAsia="zh-CN"/>
              </w:rPr>
              <w:t xml:space="preserve">The </w:t>
            </w:r>
            <w:r>
              <w:rPr>
                <w:rFonts w:hint="eastAsia"/>
                <w:sz w:val="22"/>
                <w:szCs w:val="22"/>
              </w:rPr>
              <w:t>Relevant occupational health and safety management activities in the places involved in the</w:t>
            </w:r>
            <w:r>
              <w:rPr>
                <w:rFonts w:hint="eastAsia"/>
                <w:sz w:val="22"/>
                <w:szCs w:val="22"/>
                <w:lang w:val="en-US" w:eastAsia="zh-CN"/>
              </w:rPr>
              <w:t xml:space="preserve"> </w:t>
            </w:r>
            <w:r>
              <w:rPr>
                <w:rFonts w:hint="eastAsia"/>
                <w:sz w:val="22"/>
                <w:szCs w:val="22"/>
              </w:rPr>
              <w:t>Production of electric safety tools and instruments (portable grounding wire, electroscope, grounding rod, Lingke rod, insulating ladder, foot buckle, fence, safety rope, sign, bird proof equipment), emergency bag (box), fall protector and gas shielded welding gun; Sales of lightning arresters, safety belts, safety helmets and insulators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8"/>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660" w:type="dxa"/>
            <w:gridSpan w:val="2"/>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hint="eastAsia"/>
                <w:sz w:val="22"/>
                <w:szCs w:val="18"/>
                <w:lang w:val="en-GB"/>
              </w:rPr>
            </w:pPr>
            <w:r>
              <w:rPr>
                <w:rFonts w:hint="eastAsia" w:cs="Arial"/>
                <w:b/>
                <w:bCs/>
                <w:sz w:val="22"/>
                <w:szCs w:val="16"/>
              </w:rPr>
              <w:t>签章</w:t>
            </w:r>
          </w:p>
        </w:tc>
        <w:tc>
          <w:tcPr>
            <w:tcW w:w="3548" w:type="dxa"/>
            <w:gridSpan w:val="2"/>
          </w:tcPr>
          <w:p>
            <w:pPr>
              <w:snapToGrid w:val="0"/>
              <w:spacing w:line="0" w:lineRule="atLeast"/>
              <w:jc w:val="left"/>
              <w:rPr>
                <w:rFonts w:hint="eastAsia"/>
                <w:sz w:val="22"/>
                <w:szCs w:val="18"/>
                <w:lang w:val="en-GB"/>
              </w:rPr>
            </w:pPr>
          </w:p>
        </w:tc>
        <w:tc>
          <w:tcPr>
            <w:tcW w:w="1432" w:type="dxa"/>
            <w:gridSpan w:val="2"/>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hint="eastAsia"/>
                <w:sz w:val="22"/>
                <w:szCs w:val="18"/>
                <w:lang w:val="en-GB"/>
              </w:rPr>
            </w:pPr>
            <w:r>
              <w:rPr>
                <w:rFonts w:hint="eastAsia"/>
                <w:sz w:val="22"/>
                <w:szCs w:val="18"/>
              </w:rPr>
              <w:t>签字</w:t>
            </w:r>
          </w:p>
        </w:tc>
        <w:tc>
          <w:tcPr>
            <w:tcW w:w="3322" w:type="dxa"/>
            <w:gridSpan w:val="2"/>
          </w:tcPr>
          <w:p>
            <w:pPr>
              <w:snapToGrid w:val="0"/>
              <w:spacing w:line="0" w:lineRule="atLeast"/>
              <w:jc w:val="left"/>
              <w:rPr>
                <w:rFonts w:hint="eastAsia"/>
                <w:sz w:val="22"/>
                <w:szCs w:val="18"/>
                <w:lang w:val="en-GB"/>
              </w:rPr>
            </w:pPr>
            <w:r>
              <w:rPr>
                <w:rFonts w:hint="eastAsia" w:ascii="宋体" w:hAnsi="宋体" w:eastAsia="宋体"/>
                <w:b/>
                <w:sz w:val="21"/>
                <w:szCs w:val="21"/>
                <w:lang w:eastAsia="zh-CN"/>
              </w:rPr>
              <w:drawing>
                <wp:inline distT="0" distB="0" distL="114300" distR="114300">
                  <wp:extent cx="954405" cy="459105"/>
                  <wp:effectExtent l="0" t="0" r="0" b="0"/>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5"/>
                          <a:stretch>
                            <a:fillRect/>
                          </a:stretch>
                        </pic:blipFill>
                        <pic:spPr>
                          <a:xfrm>
                            <a:off x="0" y="0"/>
                            <a:ext cx="954405" cy="45910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660" w:type="dxa"/>
            <w:gridSpan w:val="2"/>
          </w:tcPr>
          <w:p>
            <w:pPr>
              <w:snapToGrid w:val="0"/>
              <w:spacing w:line="0" w:lineRule="atLeast"/>
              <w:jc w:val="left"/>
              <w:rPr>
                <w:rFonts w:hint="eastAsia"/>
                <w:sz w:val="22"/>
                <w:szCs w:val="18"/>
                <w:lang w:val="en-US" w:eastAsia="zh-CN"/>
              </w:rPr>
            </w:pPr>
          </w:p>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3548" w:type="dxa"/>
            <w:gridSpan w:val="2"/>
          </w:tcPr>
          <w:p>
            <w:pPr>
              <w:snapToGrid w:val="0"/>
              <w:spacing w:line="0" w:lineRule="atLeast"/>
              <w:jc w:val="left"/>
              <w:rPr>
                <w:rFonts w:hint="eastAsia"/>
                <w:sz w:val="22"/>
                <w:szCs w:val="18"/>
                <w:lang w:val="en-GB"/>
              </w:rPr>
            </w:pPr>
          </w:p>
          <w:p>
            <w:pPr>
              <w:snapToGrid w:val="0"/>
              <w:spacing w:line="0" w:lineRule="atLeast"/>
              <w:jc w:val="left"/>
              <w:rPr>
                <w:rFonts w:hint="default" w:eastAsia="宋体"/>
                <w:sz w:val="22"/>
                <w:szCs w:val="18"/>
                <w:lang w:val="en-US" w:eastAsia="zh-CN"/>
              </w:rPr>
            </w:pPr>
            <w:r>
              <w:rPr>
                <w:rFonts w:hint="eastAsia"/>
                <w:sz w:val="22"/>
                <w:szCs w:val="18"/>
                <w:lang w:val="en-US" w:eastAsia="zh-CN"/>
              </w:rPr>
              <w:t>2022.5.20</w:t>
            </w:r>
          </w:p>
        </w:tc>
        <w:tc>
          <w:tcPr>
            <w:tcW w:w="1432" w:type="dxa"/>
            <w:gridSpan w:val="2"/>
          </w:tcPr>
          <w:p>
            <w:pPr>
              <w:snapToGrid w:val="0"/>
              <w:spacing w:line="0" w:lineRule="atLeast"/>
              <w:jc w:val="left"/>
              <w:rPr>
                <w:rFonts w:hint="eastAsia"/>
                <w:sz w:val="22"/>
                <w:szCs w:val="18"/>
                <w:lang w:val="en-US" w:eastAsia="zh-CN"/>
              </w:rPr>
            </w:pPr>
          </w:p>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3322" w:type="dxa"/>
            <w:gridSpan w:val="2"/>
          </w:tcPr>
          <w:p>
            <w:pPr>
              <w:snapToGrid w:val="0"/>
              <w:spacing w:line="0" w:lineRule="atLeast"/>
              <w:jc w:val="left"/>
              <w:rPr>
                <w:rFonts w:hint="eastAsia"/>
                <w:sz w:val="22"/>
                <w:szCs w:val="18"/>
                <w:lang w:val="en-US" w:eastAsia="zh-CN"/>
              </w:rPr>
            </w:pPr>
          </w:p>
          <w:p>
            <w:pPr>
              <w:snapToGrid w:val="0"/>
              <w:spacing w:line="0" w:lineRule="atLeast"/>
              <w:jc w:val="left"/>
              <w:rPr>
                <w:rFonts w:hint="default" w:eastAsia="宋体"/>
                <w:sz w:val="22"/>
                <w:szCs w:val="18"/>
                <w:lang w:val="en-US" w:eastAsia="zh-CN"/>
              </w:rPr>
            </w:pPr>
            <w:r>
              <w:rPr>
                <w:rFonts w:hint="eastAsia"/>
                <w:sz w:val="22"/>
                <w:szCs w:val="18"/>
                <w:lang w:val="en-US" w:eastAsia="zh-CN"/>
              </w:rPr>
              <w:t>2022.5.20</w:t>
            </w:r>
          </w:p>
        </w:tc>
      </w:tr>
    </w:tbl>
    <w:p>
      <w:pPr>
        <w:snapToGrid w:val="0"/>
        <w:spacing w:line="0" w:lineRule="atLeast"/>
        <w:jc w:val="center"/>
        <w:rPr>
          <w:szCs w:val="24"/>
        </w:rPr>
      </w:pP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rFonts w:hint="eastAsia" w:eastAsia="宋体"/>
          <w:b/>
          <w:color w:val="000000" w:themeColor="text1"/>
          <w:sz w:val="18"/>
          <w:szCs w:val="18"/>
          <w:lang w:val="en-GB" w:eastAsia="zh-CN"/>
        </w:rPr>
      </w:pPr>
      <w:r>
        <w:rPr>
          <w:rFonts w:hint="eastAsia" w:eastAsia="宋体"/>
          <w:b/>
          <w:color w:val="000000" w:themeColor="text1"/>
          <w:sz w:val="18"/>
          <w:szCs w:val="18"/>
          <w:lang w:val="en-GB" w:eastAsia="zh-CN"/>
        </w:rPr>
        <w:drawing>
          <wp:inline distT="0" distB="0" distL="114300" distR="114300">
            <wp:extent cx="6185535" cy="8340725"/>
            <wp:effectExtent l="0" t="0" r="12065" b="3175"/>
            <wp:docPr id="2" name="图片 2" descr="bc0515fa4e42f7cf944c78c102ca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c0515fa4e42f7cf944c78c102ca680"/>
                    <pic:cNvPicPr>
                      <a:picLocks noChangeAspect="1"/>
                    </pic:cNvPicPr>
                  </pic:nvPicPr>
                  <pic:blipFill>
                    <a:blip r:embed="rId6"/>
                    <a:stretch>
                      <a:fillRect/>
                    </a:stretch>
                  </pic:blipFill>
                  <pic:spPr>
                    <a:xfrm>
                      <a:off x="0" y="0"/>
                      <a:ext cx="6185535" cy="8340725"/>
                    </a:xfrm>
                    <a:prstGeom prst="rect">
                      <a:avLst/>
                    </a:prstGeom>
                  </pic:spPr>
                </pic:pic>
              </a:graphicData>
            </a:graphic>
          </wp:inline>
        </w:drawing>
      </w:r>
      <w:bookmarkStart w:id="17" w:name="_GoBack"/>
      <w:bookmarkEnd w:id="17"/>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48BA6161"/>
    <w:rsid w:val="55892F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1112</Words>
  <Characters>2381</Characters>
  <Lines>18</Lines>
  <Paragraphs>5</Paragraphs>
  <TotalTime>1</TotalTime>
  <ScaleCrop>false</ScaleCrop>
  <LinksUpToDate>false</LinksUpToDate>
  <CharactersWithSpaces>2672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2022-05-23T06:54:45Z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