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任丘市昊宇传动机械有限公司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17.10.01,17.10.02,18.01.05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17.10.01,17.10.02,18.01.05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范雯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楷体" w:hAnsi="楷体" w:eastAsia="楷体" w:cs="楷体"/>
                <w:bCs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1"/>
                <w:szCs w:val="21"/>
              </w:rPr>
              <w:t>A）链轮、齿轮生产流程：原料-机械粗加工-精加工-钻孔-插键槽-滚齿-热处理-成品检验-包装-入库；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1"/>
                <w:szCs w:val="21"/>
              </w:rPr>
              <w:t>B）轴类：原料-机械粗加工-精加工-铣键槽-热处理-成品检验-包装-入库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过滤棉生产关键过程：原材料进厂控制、机械加工、组装、过程检验、成品检验、热处理等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需确认过程：热处理、焊接 等，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操作依据：作业指导书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控制参数：尺寸、允差，硬度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1804-2000《一般公差 未注公差的线性和角度尺寸的公差》、GB/T1184-2008《形状和位置公差 未注公差尺寸》、GB 1244-1985《套筒滚子传动链链轮》、GB/T 20736-2006《传动用精密滚子链疲劳实验方法》、GB/Z1944-2003《工业用闭式齿轮传动装置》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无型式实验要求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15240</wp:posOffset>
                  </wp:positionV>
                  <wp:extent cx="1016000" cy="349250"/>
                  <wp:effectExtent l="0" t="0" r="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15240</wp:posOffset>
                  </wp:positionV>
                  <wp:extent cx="1016000" cy="349250"/>
                  <wp:effectExtent l="0" t="0" r="0" b="635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</w:t>
            </w:r>
            <w:bookmarkStart w:id="3" w:name="_GoBack"/>
            <w:bookmarkEnd w:id="3"/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taneo BT">
    <w:altName w:val="Courier New"/>
    <w:panose1 w:val="03020802040502060804"/>
    <w:charset w:val="00"/>
    <w:family w:val="script"/>
    <w:pitch w:val="default"/>
    <w:sig w:usb0="00000000" w:usb1="00000000" w:usb2="00000000" w:usb3="00000000" w:csb0="0000001B" w:csb1="00000000"/>
  </w:font>
  <w:font w:name="PKPWQW+MicrosoftYaHei">
    <w:altName w:val="黑体"/>
    <w:panose1 w:val="020B0503020204020204"/>
    <w:charset w:val="01"/>
    <w:family w:val="swiss"/>
    <w:pitch w:val="default"/>
    <w:sig w:usb0="00000000" w:usb1="00000000" w:usb2="00000016" w:usb3="00000000" w:csb0="0004001F" w:csb1="00000000"/>
  </w:font>
  <w:font w:name="JPUEJG+MicrosoftYaHei-Bold">
    <w:altName w:val="黑体"/>
    <w:panose1 w:val="020B0703020204020201"/>
    <w:charset w:val="01"/>
    <w:family w:val="swiss"/>
    <w:pitch w:val="default"/>
    <w:sig w:usb0="00000000" w:usb1="0000000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新魏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rsids>
    <w:rsidRoot w:val="00000000"/>
    <w:rsid w:val="05EB4EB7"/>
    <w:rsid w:val="108C0009"/>
    <w:rsid w:val="1BDA0D5A"/>
    <w:rsid w:val="51F102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2022-05-18T08:51:09Z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