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8"/>
        <w:gridCol w:w="1222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49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任丘市昊宇传动机械有限公司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任丘市石门桥镇史村106国道西侧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任丘市石门桥镇史村106国道西侧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13931715301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86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8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51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51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0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51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51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2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链轮、齿轮、立体车库传动配件及冶金矿山设备传动配件的生产（资质许可范围内除外）。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17.10.01;17.10.02;18.01.05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eastAsia="黑体"/>
                <w:sz w:val="28"/>
                <w:szCs w:val="28"/>
                <w:lang w:eastAsia="zh-CN"/>
              </w:rPr>
              <w:t>QMS/SC-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RQHY</w:t>
            </w:r>
            <w:r>
              <w:rPr>
                <w:rFonts w:eastAsia="黑体"/>
                <w:sz w:val="28"/>
                <w:szCs w:val="28"/>
                <w:lang w:eastAsia="zh-CN"/>
              </w:rPr>
              <w:t>-2019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2022年05月15日 上午至2022年05月15日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17.10.01,17.10.02,18.01.05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3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2021-N0QMS-1283054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18526190477</w:t>
            </w:r>
          </w:p>
        </w:tc>
        <w:tc>
          <w:tcPr>
            <w:tcW w:w="123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22350" cy="342900"/>
                  <wp:effectExtent l="0" t="0" r="635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tabs>
          <w:tab w:val="left" w:pos="5736"/>
        </w:tabs>
        <w:jc w:val="left"/>
        <w:rPr>
          <w:rFonts w:hint="eastAsia" w:cs="Times New Roman"/>
          <w:kern w:val="2"/>
          <w:sz w:val="24"/>
          <w:lang w:val="en-US" w:eastAsia="zh-CN" w:bidi="ar-SA"/>
        </w:rPr>
      </w:pPr>
      <w:r>
        <w:rPr>
          <w:rFonts w:hint="eastAsia" w:cs="Times New Roman"/>
          <w:kern w:val="2"/>
          <w:sz w:val="24"/>
          <w:lang w:val="en-US" w:eastAsia="zh-CN" w:bidi="ar-SA"/>
        </w:rPr>
        <w:tab/>
      </w:r>
    </w:p>
    <w:p>
      <w:pPr>
        <w:pStyle w:val="2"/>
      </w:pPr>
      <w:r>
        <w:drawing>
          <wp:inline distT="0" distB="0" distL="114300" distR="114300">
            <wp:extent cx="5697220" cy="775271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7752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  <w:bookmarkStart w:id="27" w:name="_GoBack"/>
      <w:bookmarkEnd w:id="27"/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8"/>
        <w:gridCol w:w="933"/>
        <w:gridCol w:w="3100"/>
        <w:gridCol w:w="205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>2022-5.15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30-08:45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1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45-10:00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100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问题整改情况的确认；事故事件及起处理情况等</w:t>
            </w:r>
          </w:p>
        </w:tc>
        <w:tc>
          <w:tcPr>
            <w:tcW w:w="2050" w:type="dxa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93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10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分析与评价；内部审核实施及有效性；</w:t>
            </w:r>
          </w:p>
        </w:tc>
        <w:tc>
          <w:tcPr>
            <w:tcW w:w="205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/7.1.27.1.6/7.2/7.3/7.4/7.5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/9.1.3/9.2/10 .2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1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0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00-14:30</w:t>
            </w:r>
          </w:p>
        </w:tc>
        <w:tc>
          <w:tcPr>
            <w:tcW w:w="93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供销部含库房</w:t>
            </w:r>
          </w:p>
        </w:tc>
        <w:tc>
          <w:tcPr>
            <w:tcW w:w="3100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市场开拓，产品和服务的要求，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外部提供的过程、产品和服务的控制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，顾客财产；交付后活动；顾客满意</w:t>
            </w:r>
          </w:p>
        </w:tc>
        <w:tc>
          <w:tcPr>
            <w:tcW w:w="20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14:30-17:15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生技部</w:t>
            </w:r>
          </w:p>
        </w:tc>
        <w:tc>
          <w:tcPr>
            <w:tcW w:w="310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基础设施；运行环境；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监视和测量资源；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运行的策划和控制；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auto"/>
              </w:rPr>
              <w:t>产品的设计和开发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生产和服务提供的控制；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标识和可追溯性管理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产品防护；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交付后活动；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更改控制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auto"/>
              </w:rPr>
              <w:t xml:space="preserve">QMS: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7.1.3/7.1.4/7.1.5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/8.1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/8.3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/8.5.1/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8.5.2/8.5.4/8.5.6/8.6/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clear" w:color="auto" w:fill="auto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15-17:30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0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rPr>
          <w:lang w:val="en-US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8B5016"/>
    <w:rsid w:val="3E372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2022-05-18T08:40:11Z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